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8BCEE6">
      <w:pPr>
        <w:pStyle w:val="2"/>
        <w:widowControl/>
        <w:spacing w:beforeAutospacing="0" w:afterAutospacing="0" w:line="240" w:lineRule="atLeast"/>
        <w:jc w:val="center"/>
        <w:rPr>
          <w:rFonts w:hint="default"/>
          <w:color w:val="000000"/>
          <w:sz w:val="28"/>
          <w:szCs w:val="28"/>
        </w:rPr>
      </w:pPr>
      <w:r>
        <w:rPr>
          <w:color w:val="000000"/>
          <w:sz w:val="28"/>
          <w:szCs w:val="28"/>
        </w:rPr>
        <w:t>赤峰市医院新城院区一期固定电话接入服务采购需求</w:t>
      </w:r>
    </w:p>
    <w:p w14:paraId="11AAA874">
      <w:pPr>
        <w:pStyle w:val="3"/>
        <w:widowControl/>
        <w:spacing w:beforeAutospacing="0" w:afterAutospacing="0" w:line="240" w:lineRule="atLeast"/>
        <w:rPr>
          <w:rFonts w:hint="default"/>
          <w:color w:val="000000"/>
          <w:sz w:val="28"/>
          <w:szCs w:val="28"/>
        </w:rPr>
      </w:pPr>
      <w:r>
        <w:rPr>
          <w:color w:val="000000"/>
          <w:sz w:val="28"/>
          <w:szCs w:val="28"/>
        </w:rPr>
        <w:t>一、项目概述</w:t>
      </w:r>
    </w:p>
    <w:p w14:paraId="6EDA62C3">
      <w:pPr>
        <w:widowControl/>
        <w:spacing w:line="240" w:lineRule="atLeast"/>
        <w:ind w:firstLine="560" w:firstLineChars="200"/>
        <w:jc w:val="left"/>
        <w:rPr>
          <w:color w:val="000000"/>
          <w:sz w:val="28"/>
          <w:szCs w:val="28"/>
        </w:rPr>
      </w:pPr>
      <w:r>
        <w:rPr>
          <w:rFonts w:ascii="宋体" w:hAnsi="宋体" w:eastAsia="宋体" w:cs="宋体"/>
          <w:color w:val="000000"/>
          <w:kern w:val="0"/>
          <w:sz w:val="28"/>
          <w:szCs w:val="28"/>
          <w:lang w:bidi="ar"/>
        </w:rPr>
        <w:t>结合赤峰市医院新城院区运营使用需求，本次开展院区固定电话接入服务采购工作，搭建院内语音通信网络，实现院内内线互通、外线正常呼入呼出，同时针对医疗重点区域做好通信应急保障，满足日常办公、诊疗、急救等场景的语音通信使用要求，保障院区通信系统稳定、高效运行。</w:t>
      </w:r>
    </w:p>
    <w:p w14:paraId="68BC0387">
      <w:pPr>
        <w:pStyle w:val="3"/>
        <w:widowControl/>
        <w:spacing w:beforeAutospacing="0" w:afterAutospacing="0" w:line="240" w:lineRule="atLeast"/>
        <w:rPr>
          <w:rFonts w:hint="default"/>
          <w:color w:val="000000"/>
          <w:sz w:val="28"/>
          <w:szCs w:val="28"/>
        </w:rPr>
      </w:pPr>
      <w:r>
        <w:rPr>
          <w:color w:val="000000"/>
          <w:sz w:val="28"/>
          <w:szCs w:val="28"/>
        </w:rPr>
        <w:t>二、总体建设需求</w:t>
      </w:r>
    </w:p>
    <w:p w14:paraId="141D2BFF">
      <w:pPr>
        <w:widowControl/>
        <w:spacing w:line="240" w:lineRule="atLeast"/>
        <w:ind w:firstLine="560" w:firstLineChars="200"/>
        <w:jc w:val="left"/>
        <w:rPr>
          <w:color w:val="000000"/>
          <w:sz w:val="28"/>
          <w:szCs w:val="28"/>
        </w:rPr>
      </w:pPr>
      <w:r>
        <w:rPr>
          <w:color w:val="000000"/>
          <w:sz w:val="28"/>
          <w:szCs w:val="28"/>
        </w:rPr>
        <w:t>本次规划接入固定电话</w:t>
      </w:r>
      <w:r>
        <w:rPr>
          <w:rStyle w:val="10"/>
          <w:bCs/>
          <w:color w:val="000000"/>
          <w:sz w:val="28"/>
          <w:szCs w:val="28"/>
        </w:rPr>
        <w:t>总计</w:t>
      </w:r>
      <w:r>
        <w:rPr>
          <w:rStyle w:val="10"/>
          <w:rFonts w:hint="eastAsia"/>
          <w:bCs/>
          <w:color w:val="000000"/>
          <w:sz w:val="28"/>
          <w:szCs w:val="28"/>
          <w:lang w:val="en-US" w:eastAsia="zh-CN"/>
        </w:rPr>
        <w:t>953</w:t>
      </w:r>
      <w:r>
        <w:rPr>
          <w:rStyle w:val="10"/>
          <w:bCs/>
          <w:color w:val="000000"/>
          <w:sz w:val="28"/>
          <w:szCs w:val="28"/>
        </w:rPr>
        <w:t>部</w:t>
      </w:r>
      <w:r>
        <w:rPr>
          <w:color w:val="000000"/>
          <w:sz w:val="28"/>
          <w:szCs w:val="28"/>
        </w:rPr>
        <w:t>，最终接入数量以现场实际部署为准。</w:t>
      </w:r>
    </w:p>
    <w:p w14:paraId="25A89EA6">
      <w:pPr>
        <w:pStyle w:val="3"/>
        <w:widowControl/>
        <w:spacing w:beforeAutospacing="0" w:afterAutospacing="0" w:line="240" w:lineRule="atLeast"/>
        <w:rPr>
          <w:rFonts w:hint="default"/>
          <w:color w:val="000000"/>
          <w:sz w:val="28"/>
          <w:szCs w:val="28"/>
        </w:rPr>
      </w:pPr>
      <w:r>
        <w:rPr>
          <w:color w:val="000000"/>
          <w:sz w:val="28"/>
          <w:szCs w:val="28"/>
        </w:rPr>
        <w:t>三、核心功能技术要求</w:t>
      </w:r>
    </w:p>
    <w:p w14:paraId="5873C588">
      <w:pPr>
        <w:pStyle w:val="4"/>
        <w:widowControl/>
        <w:spacing w:beforeAutospacing="0" w:afterAutospacing="0" w:line="240" w:lineRule="atLeast"/>
        <w:rPr>
          <w:rFonts w:hint="default"/>
          <w:color w:val="000000"/>
          <w:sz w:val="28"/>
          <w:szCs w:val="28"/>
        </w:rPr>
      </w:pPr>
      <w:r>
        <w:rPr>
          <w:color w:val="000000"/>
          <w:sz w:val="28"/>
          <w:szCs w:val="28"/>
        </w:rPr>
        <w:t>（一）内线通信要求</w:t>
      </w:r>
    </w:p>
    <w:p w14:paraId="2279E2B1">
      <w:pPr>
        <w:widowControl/>
        <w:spacing w:line="240" w:lineRule="atLeast"/>
        <w:ind w:firstLine="560" w:firstLineChars="200"/>
        <w:jc w:val="left"/>
        <w:rPr>
          <w:color w:val="000000"/>
          <w:sz w:val="28"/>
          <w:szCs w:val="28"/>
        </w:rPr>
      </w:pPr>
      <w:r>
        <w:rPr>
          <w:rFonts w:ascii="宋体" w:hAnsi="宋体" w:eastAsia="宋体" w:cs="宋体"/>
          <w:color w:val="000000"/>
          <w:kern w:val="0"/>
          <w:sz w:val="28"/>
          <w:szCs w:val="28"/>
          <w:lang w:bidi="ar"/>
        </w:rPr>
        <w:t>新城院区所有固定电话使用</w:t>
      </w:r>
      <w:r>
        <w:rPr>
          <w:rStyle w:val="10"/>
          <w:rFonts w:ascii="宋体" w:hAnsi="宋体" w:eastAsia="宋体" w:cs="宋体"/>
          <w:bCs/>
          <w:color w:val="000000"/>
          <w:kern w:val="0"/>
          <w:sz w:val="28"/>
          <w:szCs w:val="28"/>
          <w:lang w:bidi="ar"/>
        </w:rPr>
        <w:t>统一专属号段</w:t>
      </w:r>
      <w:r>
        <w:rPr>
          <w:rFonts w:ascii="宋体" w:hAnsi="宋体" w:eastAsia="宋体" w:cs="宋体"/>
          <w:color w:val="000000"/>
          <w:kern w:val="0"/>
          <w:sz w:val="28"/>
          <w:szCs w:val="28"/>
          <w:lang w:bidi="ar"/>
        </w:rPr>
        <w:t>，支持院内内线直拨功能，内线通话无需转接、拨号简洁，通话稳定无卡顿，满足院内各科室之间日常沟通需求。</w:t>
      </w:r>
    </w:p>
    <w:p w14:paraId="58329D55">
      <w:pPr>
        <w:pStyle w:val="4"/>
        <w:widowControl/>
        <w:spacing w:beforeAutospacing="0" w:afterAutospacing="0" w:line="240" w:lineRule="atLeast"/>
        <w:rPr>
          <w:rFonts w:hint="default"/>
          <w:color w:val="000000"/>
          <w:sz w:val="28"/>
          <w:szCs w:val="28"/>
        </w:rPr>
      </w:pPr>
      <w:r>
        <w:rPr>
          <w:color w:val="000000"/>
          <w:sz w:val="28"/>
          <w:szCs w:val="28"/>
        </w:rPr>
        <w:t>（二）外线通信要求</w:t>
      </w:r>
    </w:p>
    <w:p w14:paraId="511E7609">
      <w:pPr>
        <w:widowControl/>
        <w:spacing w:line="240" w:lineRule="atLeast"/>
        <w:ind w:firstLine="560" w:firstLineChars="200"/>
        <w:jc w:val="left"/>
        <w:rPr>
          <w:color w:val="000000"/>
          <w:sz w:val="28"/>
          <w:szCs w:val="28"/>
        </w:rPr>
      </w:pPr>
      <w:r>
        <w:rPr>
          <w:rFonts w:hint="eastAsia"/>
          <w:color w:val="000000"/>
          <w:sz w:val="28"/>
          <w:szCs w:val="28"/>
        </w:rPr>
        <w:t>1、</w:t>
      </w:r>
      <w:r>
        <w:rPr>
          <w:color w:val="000000"/>
          <w:sz w:val="28"/>
          <w:szCs w:val="28"/>
        </w:rPr>
        <w:t>所有固定电话支持正常对外呼入、呼出，外线通话音质清晰、连接稳定。</w:t>
      </w:r>
    </w:p>
    <w:p w14:paraId="1DBEE4BE">
      <w:pPr>
        <w:widowControl/>
        <w:spacing w:line="240" w:lineRule="atLeast"/>
        <w:ind w:firstLine="560" w:firstLineChars="200"/>
        <w:jc w:val="left"/>
        <w:rPr>
          <w:color w:val="000000"/>
          <w:sz w:val="28"/>
          <w:szCs w:val="28"/>
        </w:rPr>
      </w:pPr>
      <w:r>
        <w:rPr>
          <w:rFonts w:hint="eastAsia"/>
          <w:color w:val="000000"/>
          <w:sz w:val="28"/>
          <w:szCs w:val="28"/>
        </w:rPr>
        <w:t>2、</w:t>
      </w:r>
      <w:r>
        <w:rPr>
          <w:color w:val="000000"/>
          <w:sz w:val="28"/>
          <w:szCs w:val="28"/>
        </w:rPr>
        <w:t>全线开通</w:t>
      </w:r>
      <w:r>
        <w:rPr>
          <w:rStyle w:val="10"/>
          <w:bCs/>
          <w:color w:val="000000"/>
          <w:sz w:val="28"/>
          <w:szCs w:val="28"/>
        </w:rPr>
        <w:t>来电显示</w:t>
      </w:r>
      <w:r>
        <w:rPr>
          <w:color w:val="000000"/>
          <w:sz w:val="28"/>
          <w:szCs w:val="28"/>
        </w:rPr>
        <w:t>功能，可正常识别来电号码，便于工作人员甄别来电。</w:t>
      </w:r>
    </w:p>
    <w:p w14:paraId="3696CA63">
      <w:pPr>
        <w:widowControl/>
        <w:spacing w:line="240" w:lineRule="atLeast"/>
        <w:ind w:firstLine="560" w:firstLineChars="200"/>
        <w:jc w:val="left"/>
        <w:rPr>
          <w:color w:val="000000"/>
          <w:sz w:val="28"/>
          <w:szCs w:val="28"/>
        </w:rPr>
      </w:pPr>
      <w:r>
        <w:rPr>
          <w:rFonts w:hint="eastAsia"/>
          <w:color w:val="000000"/>
          <w:sz w:val="28"/>
          <w:szCs w:val="28"/>
        </w:rPr>
        <w:t>3、</w:t>
      </w:r>
      <w:r>
        <w:rPr>
          <w:color w:val="000000"/>
          <w:sz w:val="28"/>
          <w:szCs w:val="28"/>
        </w:rPr>
        <w:t>支持常规语音通话基础功能，可根据院方后续需求开通呼叫转移、三方通话等增值语音业务。</w:t>
      </w:r>
    </w:p>
    <w:p w14:paraId="40BA6D5C">
      <w:pPr>
        <w:pStyle w:val="4"/>
        <w:widowControl/>
        <w:spacing w:beforeAutospacing="0" w:afterAutospacing="0" w:line="240" w:lineRule="atLeast"/>
        <w:rPr>
          <w:rFonts w:hint="default"/>
          <w:color w:val="000000"/>
          <w:sz w:val="28"/>
          <w:szCs w:val="28"/>
        </w:rPr>
      </w:pPr>
      <w:r>
        <w:rPr>
          <w:color w:val="000000"/>
          <w:sz w:val="28"/>
          <w:szCs w:val="28"/>
        </w:rPr>
        <w:t>（三）重点区域应急保障要求</w:t>
      </w:r>
    </w:p>
    <w:p w14:paraId="682B07A6">
      <w:pPr>
        <w:widowControl/>
        <w:spacing w:line="240" w:lineRule="atLeast"/>
        <w:ind w:firstLine="560" w:firstLineChars="200"/>
        <w:jc w:val="left"/>
        <w:rPr>
          <w:color w:val="000000"/>
          <w:sz w:val="28"/>
          <w:szCs w:val="28"/>
        </w:rPr>
      </w:pPr>
      <w:r>
        <w:rPr>
          <w:rFonts w:hint="eastAsia"/>
          <w:color w:val="000000"/>
          <w:sz w:val="28"/>
          <w:szCs w:val="28"/>
        </w:rPr>
        <w:t>1、</w:t>
      </w:r>
      <w:r>
        <w:rPr>
          <w:color w:val="000000"/>
          <w:sz w:val="28"/>
          <w:szCs w:val="28"/>
        </w:rPr>
        <w:t>对</w:t>
      </w:r>
      <w:r>
        <w:rPr>
          <w:rFonts w:hint="eastAsia"/>
          <w:color w:val="000000"/>
          <w:sz w:val="28"/>
          <w:szCs w:val="28"/>
        </w:rPr>
        <w:t>各类手术室</w:t>
      </w:r>
      <w:r>
        <w:rPr>
          <w:color w:val="000000"/>
          <w:sz w:val="28"/>
          <w:szCs w:val="28"/>
        </w:rPr>
        <w:t>、</w:t>
      </w:r>
      <w:r>
        <w:rPr>
          <w:rFonts w:hint="eastAsia"/>
          <w:color w:val="000000"/>
          <w:sz w:val="28"/>
          <w:szCs w:val="28"/>
        </w:rPr>
        <w:t>ICU</w:t>
      </w:r>
      <w:r>
        <w:rPr>
          <w:color w:val="000000"/>
          <w:sz w:val="28"/>
          <w:szCs w:val="28"/>
        </w:rPr>
        <w:t>室</w:t>
      </w:r>
      <w:r>
        <w:rPr>
          <w:rFonts w:hint="eastAsia"/>
          <w:color w:val="000000"/>
          <w:sz w:val="28"/>
          <w:szCs w:val="28"/>
        </w:rPr>
        <w:t>、DSA</w:t>
      </w:r>
      <w:r>
        <w:rPr>
          <w:rFonts w:hint="eastAsia"/>
          <w:color w:val="000000"/>
          <w:sz w:val="28"/>
          <w:szCs w:val="28"/>
          <w:lang w:eastAsia="zh-CN"/>
        </w:rPr>
        <w:t>、</w:t>
      </w:r>
      <w:r>
        <w:rPr>
          <w:rFonts w:hint="eastAsia"/>
          <w:color w:val="000000"/>
          <w:sz w:val="28"/>
          <w:szCs w:val="28"/>
          <w:lang w:val="en-US" w:eastAsia="zh-CN"/>
        </w:rPr>
        <w:t>急救</w:t>
      </w:r>
      <w:r>
        <w:rPr>
          <w:color w:val="000000"/>
          <w:sz w:val="28"/>
          <w:szCs w:val="28"/>
        </w:rPr>
        <w:t>等医疗核心紧急通话点位进行通信优先级设置，</w:t>
      </w:r>
      <w:r>
        <w:rPr>
          <w:rStyle w:val="10"/>
          <w:bCs/>
          <w:color w:val="000000"/>
          <w:sz w:val="28"/>
          <w:szCs w:val="28"/>
        </w:rPr>
        <w:t>优先保障该类点位电话通信畅通</w:t>
      </w:r>
      <w:r>
        <w:rPr>
          <w:color w:val="000000"/>
          <w:sz w:val="28"/>
          <w:szCs w:val="28"/>
        </w:rPr>
        <w:t>，在网络拥堵、线路故障等场景下优先恢复重点区域通话。</w:t>
      </w:r>
    </w:p>
    <w:p w14:paraId="424EEB74">
      <w:pPr>
        <w:widowControl/>
        <w:spacing w:line="240" w:lineRule="atLeast"/>
        <w:ind w:firstLine="560" w:firstLineChars="200"/>
        <w:jc w:val="left"/>
        <w:rPr>
          <w:color w:val="000000"/>
          <w:sz w:val="28"/>
          <w:szCs w:val="28"/>
        </w:rPr>
      </w:pPr>
      <w:r>
        <w:rPr>
          <w:rFonts w:hint="eastAsia"/>
          <w:color w:val="000000"/>
          <w:sz w:val="28"/>
          <w:szCs w:val="28"/>
        </w:rPr>
        <w:t>2、</w:t>
      </w:r>
      <w:r>
        <w:rPr>
          <w:color w:val="000000"/>
          <w:sz w:val="28"/>
          <w:szCs w:val="28"/>
        </w:rPr>
        <w:t>针对重点应急点位建立专项巡检与故障排查机制，实现故障快速定位、快速处置，杜绝急救、诊</w:t>
      </w:r>
      <w:r>
        <w:rPr>
          <w:rFonts w:hint="eastAsia"/>
          <w:color w:val="000000"/>
          <w:sz w:val="28"/>
          <w:szCs w:val="28"/>
          <w:lang w:eastAsia="zh-CN"/>
        </w:rPr>
        <w:t>疗等</w:t>
      </w:r>
      <w:r>
        <w:rPr>
          <w:color w:val="000000"/>
          <w:sz w:val="28"/>
          <w:szCs w:val="28"/>
        </w:rPr>
        <w:t>关键场景通信中断。</w:t>
      </w:r>
    </w:p>
    <w:p w14:paraId="654EC79B">
      <w:pPr>
        <w:pStyle w:val="3"/>
        <w:widowControl/>
        <w:spacing w:beforeAutospacing="0" w:afterAutospacing="0" w:line="240" w:lineRule="atLeast"/>
        <w:rPr>
          <w:rFonts w:hint="default"/>
          <w:color w:val="000000"/>
          <w:sz w:val="28"/>
          <w:szCs w:val="28"/>
        </w:rPr>
      </w:pPr>
      <w:r>
        <w:rPr>
          <w:color w:val="000000"/>
          <w:sz w:val="28"/>
          <w:szCs w:val="28"/>
        </w:rPr>
        <w:t>四、线路与施工要求</w:t>
      </w:r>
    </w:p>
    <w:p w14:paraId="7F4316E7">
      <w:pPr>
        <w:widowControl/>
        <w:spacing w:line="240" w:lineRule="atLeast"/>
        <w:ind w:firstLine="560" w:firstLineChars="200"/>
        <w:jc w:val="left"/>
        <w:rPr>
          <w:rFonts w:hint="eastAsia"/>
          <w:color w:val="000000"/>
          <w:sz w:val="28"/>
          <w:szCs w:val="28"/>
          <w:highlight w:val="none"/>
        </w:rPr>
      </w:pPr>
      <w:r>
        <w:rPr>
          <w:rFonts w:hint="eastAsia"/>
          <w:color w:val="000000"/>
          <w:sz w:val="28"/>
          <w:szCs w:val="28"/>
          <w:highlight w:val="none"/>
        </w:rPr>
        <w:t>1、</w:t>
      </w:r>
      <w:r>
        <w:rPr>
          <w:color w:val="000000"/>
          <w:sz w:val="28"/>
          <w:szCs w:val="28"/>
          <w:highlight w:val="none"/>
        </w:rPr>
        <w:t>中标方负责本项目语音通信主干光缆敷设至医技四层语音通信机房指定位置，完成光纤配线架的</w:t>
      </w:r>
      <w:r>
        <w:rPr>
          <w:rFonts w:hint="eastAsia"/>
          <w:color w:val="000000"/>
          <w:sz w:val="28"/>
          <w:szCs w:val="28"/>
          <w:highlight w:val="none"/>
          <w:lang w:val="en-US" w:eastAsia="zh-CN"/>
        </w:rPr>
        <w:t>供货</w:t>
      </w:r>
      <w:r>
        <w:rPr>
          <w:color w:val="000000"/>
          <w:sz w:val="28"/>
          <w:szCs w:val="28"/>
          <w:highlight w:val="none"/>
        </w:rPr>
        <w:t>熔接安装工作；语音通信机房及各弱电间、电话汇聚机房语音通信设备的</w:t>
      </w:r>
      <w:r>
        <w:rPr>
          <w:rFonts w:hint="eastAsia"/>
          <w:color w:val="000000"/>
          <w:sz w:val="28"/>
          <w:szCs w:val="28"/>
          <w:highlight w:val="none"/>
          <w:lang w:val="en-US" w:eastAsia="zh-CN"/>
        </w:rPr>
        <w:t>供货</w:t>
      </w:r>
      <w:r>
        <w:rPr>
          <w:color w:val="000000"/>
          <w:sz w:val="28"/>
          <w:szCs w:val="28"/>
          <w:highlight w:val="none"/>
        </w:rPr>
        <w:t>安装工作；</w:t>
      </w:r>
    </w:p>
    <w:p w14:paraId="46243961">
      <w:pPr>
        <w:widowControl/>
        <w:spacing w:line="240" w:lineRule="atLeast"/>
        <w:ind w:firstLine="560" w:firstLineChars="200"/>
        <w:jc w:val="left"/>
        <w:rPr>
          <w:rFonts w:hint="eastAsia" w:eastAsiaTheme="minorEastAsia"/>
          <w:color w:val="000000"/>
          <w:sz w:val="28"/>
          <w:szCs w:val="28"/>
          <w:highlight w:val="none"/>
          <w:lang w:eastAsia="zh-CN"/>
        </w:rPr>
      </w:pPr>
      <w:r>
        <w:rPr>
          <w:rFonts w:hint="eastAsia"/>
          <w:color w:val="000000"/>
          <w:sz w:val="28"/>
          <w:szCs w:val="28"/>
          <w:highlight w:val="none"/>
        </w:rPr>
        <w:t>前端设备</w:t>
      </w:r>
      <w:r>
        <w:rPr>
          <w:rFonts w:hint="eastAsia"/>
          <w:color w:val="000000"/>
          <w:sz w:val="28"/>
          <w:szCs w:val="28"/>
          <w:highlight w:val="none"/>
          <w:lang w:val="en-US" w:eastAsia="zh-CN"/>
        </w:rPr>
        <w:t>中标方</w:t>
      </w:r>
      <w:r>
        <w:rPr>
          <w:rFonts w:hint="eastAsia"/>
          <w:color w:val="000000"/>
          <w:sz w:val="28"/>
          <w:szCs w:val="28"/>
          <w:highlight w:val="none"/>
        </w:rPr>
        <w:t>需提供电话机，并完成电话机与终端面板连接工作（提供</w:t>
      </w:r>
      <w:r>
        <w:rPr>
          <w:color w:val="000000"/>
          <w:sz w:val="28"/>
          <w:szCs w:val="28"/>
          <w:highlight w:val="none"/>
        </w:rPr>
        <w:t>RJ45/11转接跳线</w:t>
      </w:r>
      <w:r>
        <w:rPr>
          <w:rFonts w:hint="eastAsia"/>
          <w:color w:val="000000"/>
          <w:sz w:val="28"/>
          <w:szCs w:val="28"/>
          <w:highlight w:val="none"/>
        </w:rPr>
        <w:t>）</w:t>
      </w:r>
      <w:r>
        <w:rPr>
          <w:rFonts w:hint="eastAsia"/>
          <w:color w:val="000000"/>
          <w:sz w:val="28"/>
          <w:szCs w:val="28"/>
          <w:highlight w:val="none"/>
          <w:lang w:eastAsia="zh-CN"/>
        </w:rPr>
        <w:t>。</w:t>
      </w:r>
    </w:p>
    <w:p w14:paraId="5148FF3D">
      <w:pPr>
        <w:widowControl/>
        <w:spacing w:line="240" w:lineRule="atLeast"/>
        <w:ind w:firstLine="560" w:firstLineChars="200"/>
        <w:jc w:val="left"/>
        <w:rPr>
          <w:color w:val="000000"/>
          <w:sz w:val="28"/>
          <w:szCs w:val="28"/>
          <w:highlight w:val="none"/>
        </w:rPr>
      </w:pPr>
      <w:r>
        <w:rPr>
          <w:rFonts w:hint="eastAsia"/>
          <w:color w:val="000000"/>
          <w:sz w:val="28"/>
          <w:szCs w:val="28"/>
          <w:highlight w:val="none"/>
        </w:rPr>
        <w:t>2、</w:t>
      </w:r>
      <w:r>
        <w:rPr>
          <w:color w:val="000000"/>
          <w:sz w:val="28"/>
          <w:szCs w:val="28"/>
          <w:highlight w:val="none"/>
        </w:rPr>
        <w:t>所有</w:t>
      </w:r>
      <w:r>
        <w:rPr>
          <w:rFonts w:hint="eastAsia"/>
          <w:color w:val="000000"/>
          <w:sz w:val="28"/>
          <w:szCs w:val="28"/>
          <w:highlight w:val="none"/>
        </w:rPr>
        <w:t>通话</w:t>
      </w:r>
      <w:r>
        <w:rPr>
          <w:color w:val="000000"/>
          <w:sz w:val="28"/>
          <w:szCs w:val="28"/>
          <w:highlight w:val="none"/>
        </w:rPr>
        <w:t>线路、设备需与院区现有通信、网络系统兼容，施工过</w:t>
      </w:r>
      <w:r>
        <w:rPr>
          <w:rFonts w:hint="eastAsia"/>
          <w:color w:val="000000"/>
          <w:sz w:val="28"/>
          <w:szCs w:val="28"/>
          <w:highlight w:val="none"/>
          <w:lang w:eastAsia="zh-CN"/>
        </w:rPr>
        <w:t>程中</w:t>
      </w:r>
      <w:r>
        <w:rPr>
          <w:color w:val="000000"/>
          <w:sz w:val="28"/>
          <w:szCs w:val="28"/>
          <w:highlight w:val="none"/>
        </w:rPr>
        <w:t>不得破坏院区</w:t>
      </w:r>
      <w:r>
        <w:rPr>
          <w:rFonts w:hint="eastAsia"/>
          <w:color w:val="000000"/>
          <w:sz w:val="28"/>
          <w:szCs w:val="28"/>
          <w:highlight w:val="none"/>
        </w:rPr>
        <w:t>现</w:t>
      </w:r>
      <w:r>
        <w:rPr>
          <w:color w:val="000000"/>
          <w:sz w:val="28"/>
          <w:szCs w:val="28"/>
          <w:highlight w:val="none"/>
        </w:rPr>
        <w:t>有管线、设施及装修，施工产生的垃圾由中标方统一清理。</w:t>
      </w:r>
    </w:p>
    <w:p w14:paraId="6E4793E9">
      <w:pPr>
        <w:widowControl/>
        <w:spacing w:line="240" w:lineRule="atLeast"/>
        <w:ind w:firstLine="560" w:firstLineChars="200"/>
        <w:jc w:val="left"/>
        <w:rPr>
          <w:color w:val="000000"/>
          <w:sz w:val="28"/>
          <w:szCs w:val="28"/>
        </w:rPr>
      </w:pPr>
      <w:r>
        <w:rPr>
          <w:rFonts w:hint="eastAsia"/>
          <w:color w:val="000000"/>
          <w:sz w:val="28"/>
          <w:szCs w:val="28"/>
        </w:rPr>
        <w:t>3、</w:t>
      </w:r>
      <w:r>
        <w:rPr>
          <w:color w:val="000000"/>
          <w:sz w:val="28"/>
          <w:szCs w:val="28"/>
        </w:rPr>
        <w:t>项目完工后，中标方须提供完整的线路路由图、点位分布图、设备清单、配置文档等全套资料交付院方存档。</w:t>
      </w:r>
    </w:p>
    <w:p w14:paraId="75030F5E">
      <w:pPr>
        <w:pStyle w:val="3"/>
        <w:widowControl/>
        <w:spacing w:beforeAutospacing="0" w:afterAutospacing="0" w:line="240" w:lineRule="atLeast"/>
        <w:rPr>
          <w:rFonts w:hint="default"/>
          <w:color w:val="000000"/>
          <w:sz w:val="28"/>
          <w:szCs w:val="28"/>
        </w:rPr>
      </w:pPr>
      <w:r>
        <w:rPr>
          <w:color w:val="000000"/>
          <w:sz w:val="28"/>
          <w:szCs w:val="28"/>
        </w:rPr>
        <w:t>五、售后运维与服务保障体系</w:t>
      </w:r>
    </w:p>
    <w:p w14:paraId="6B21426C">
      <w:pPr>
        <w:widowControl/>
        <w:spacing w:line="240" w:lineRule="atLeast"/>
        <w:ind w:firstLine="560" w:firstLineChars="200"/>
        <w:jc w:val="left"/>
        <w:rPr>
          <w:color w:val="000000"/>
          <w:sz w:val="28"/>
          <w:szCs w:val="28"/>
        </w:rPr>
      </w:pPr>
      <w:r>
        <w:rPr>
          <w:rFonts w:ascii="宋体" w:hAnsi="宋体" w:eastAsia="宋体" w:cs="宋体"/>
          <w:color w:val="000000"/>
          <w:kern w:val="0"/>
          <w:sz w:val="28"/>
          <w:szCs w:val="28"/>
          <w:lang w:bidi="ar"/>
        </w:rPr>
        <w:t>中标方需建立标准化、全流程售后运维服务体系，在投标文件中提交完整运维实施方案，包含组织架构、处置流程、管理制度、保障资源等内容。</w:t>
      </w:r>
    </w:p>
    <w:p w14:paraId="750FDCFC">
      <w:pPr>
        <w:pStyle w:val="4"/>
        <w:widowControl/>
        <w:spacing w:beforeAutospacing="0" w:afterAutospacing="0" w:line="240" w:lineRule="atLeast"/>
        <w:ind w:firstLine="562" w:firstLineChars="200"/>
        <w:rPr>
          <w:rFonts w:hint="default"/>
          <w:color w:val="000000"/>
          <w:sz w:val="28"/>
          <w:szCs w:val="28"/>
        </w:rPr>
      </w:pPr>
      <w:r>
        <w:rPr>
          <w:color w:val="000000"/>
          <w:sz w:val="28"/>
          <w:szCs w:val="28"/>
        </w:rPr>
        <w:t>（一）用户档案管理</w:t>
      </w:r>
    </w:p>
    <w:p w14:paraId="6AB9EAC1">
      <w:pPr>
        <w:widowControl/>
        <w:spacing w:line="240" w:lineRule="atLeast"/>
        <w:ind w:firstLine="560" w:firstLineChars="200"/>
        <w:jc w:val="left"/>
        <w:rPr>
          <w:color w:val="000000"/>
          <w:sz w:val="28"/>
          <w:szCs w:val="28"/>
        </w:rPr>
      </w:pPr>
      <w:r>
        <w:rPr>
          <w:rFonts w:ascii="宋体" w:hAnsi="宋体" w:eastAsia="宋体" w:cs="宋体"/>
          <w:color w:val="000000"/>
          <w:kern w:val="0"/>
          <w:sz w:val="28"/>
          <w:szCs w:val="28"/>
          <w:lang w:bidi="ar"/>
        </w:rPr>
        <w:t>建立全生命周期通信设备及线路维护档案，对所有电话点位、线路、端口进行专项标识管理，做到信息完整、台账清晰、可追溯。</w:t>
      </w:r>
    </w:p>
    <w:p w14:paraId="20B4FBFE">
      <w:pPr>
        <w:pStyle w:val="4"/>
        <w:widowControl/>
        <w:spacing w:beforeAutospacing="0" w:afterAutospacing="0" w:line="240" w:lineRule="atLeast"/>
        <w:ind w:firstLine="562" w:firstLineChars="200"/>
        <w:rPr>
          <w:rFonts w:hint="default"/>
          <w:color w:val="000000"/>
          <w:sz w:val="28"/>
          <w:szCs w:val="28"/>
        </w:rPr>
      </w:pPr>
      <w:r>
        <w:rPr>
          <w:color w:val="000000"/>
          <w:sz w:val="28"/>
          <w:szCs w:val="28"/>
        </w:rPr>
        <w:t>（二）日常巡检与预防性维护</w:t>
      </w:r>
    </w:p>
    <w:p w14:paraId="3B8B6A0B">
      <w:pPr>
        <w:widowControl/>
        <w:spacing w:line="240" w:lineRule="atLeast"/>
        <w:ind w:firstLine="560" w:firstLineChars="200"/>
        <w:jc w:val="left"/>
        <w:rPr>
          <w:color w:val="000000"/>
          <w:sz w:val="28"/>
          <w:szCs w:val="28"/>
        </w:rPr>
      </w:pPr>
      <w:r>
        <w:rPr>
          <w:rFonts w:ascii="宋体" w:hAnsi="宋体" w:eastAsia="宋体" w:cs="宋体"/>
          <w:color w:val="000000"/>
          <w:kern w:val="0"/>
          <w:sz w:val="28"/>
          <w:szCs w:val="28"/>
          <w:lang w:bidi="ar"/>
        </w:rPr>
        <w:t>制定常态化线路及设备巡检计划，定期对语音线路、配线设备、电话终端进行巡查维护；遇恶劣天气、周边施工等安全隐患场景，立即启动应急巡检，并留存书面巡检记录。在重大节假日、医疗保障时段、市政施工高发期，增加巡检频次。</w:t>
      </w:r>
    </w:p>
    <w:p w14:paraId="42E38A09">
      <w:pPr>
        <w:pStyle w:val="4"/>
        <w:widowControl/>
        <w:spacing w:beforeAutospacing="0" w:afterAutospacing="0" w:line="240" w:lineRule="atLeast"/>
        <w:ind w:firstLine="562" w:firstLineChars="200"/>
        <w:rPr>
          <w:rFonts w:hint="default"/>
          <w:color w:val="000000"/>
          <w:sz w:val="28"/>
          <w:szCs w:val="28"/>
        </w:rPr>
      </w:pPr>
      <w:r>
        <w:rPr>
          <w:color w:val="000000"/>
          <w:sz w:val="28"/>
          <w:szCs w:val="28"/>
        </w:rPr>
        <w:t>（三）</w:t>
      </w:r>
      <w:r>
        <w:rPr>
          <w:rFonts w:cs="宋体"/>
          <w:color w:val="000000"/>
          <w:sz w:val="28"/>
          <w:szCs w:val="28"/>
        </w:rPr>
        <w:t>线路</w:t>
      </w:r>
      <w:r>
        <w:rPr>
          <w:color w:val="000000"/>
          <w:sz w:val="28"/>
          <w:szCs w:val="28"/>
        </w:rPr>
        <w:t>割接管理</w:t>
      </w:r>
    </w:p>
    <w:p w14:paraId="0C177594">
      <w:pPr>
        <w:widowControl/>
        <w:spacing w:line="240" w:lineRule="atLeast"/>
        <w:ind w:firstLine="560" w:firstLineChars="200"/>
        <w:jc w:val="left"/>
        <w:rPr>
          <w:color w:val="000000"/>
          <w:sz w:val="28"/>
          <w:szCs w:val="28"/>
        </w:rPr>
      </w:pPr>
      <w:r>
        <w:rPr>
          <w:rFonts w:ascii="宋体" w:hAnsi="宋体" w:eastAsia="宋体" w:cs="宋体"/>
          <w:color w:val="000000"/>
          <w:kern w:val="0"/>
          <w:sz w:val="28"/>
          <w:szCs w:val="28"/>
          <w:lang w:bidi="ar"/>
        </w:rPr>
        <w:t>若涉及语音线路、设备割接调整，中标方需提前 7 个工作日向院方提交书面割接方案及回退预案，经院方书面同意后方可实施操作。</w:t>
      </w:r>
    </w:p>
    <w:p w14:paraId="68F7CE8D">
      <w:pPr>
        <w:widowControl/>
        <w:spacing w:line="240" w:lineRule="atLeast"/>
        <w:ind w:firstLine="560" w:firstLineChars="200"/>
        <w:jc w:val="left"/>
        <w:rPr>
          <w:color w:val="000000"/>
          <w:sz w:val="28"/>
          <w:szCs w:val="28"/>
        </w:rPr>
      </w:pPr>
      <w:r>
        <w:rPr>
          <w:color w:val="000000"/>
          <w:sz w:val="28"/>
          <w:szCs w:val="28"/>
        </w:rPr>
        <w:t>（四）应急</w:t>
      </w:r>
      <w:r>
        <w:rPr>
          <w:rFonts w:ascii="宋体" w:hAnsi="宋体" w:eastAsia="宋体" w:cs="宋体"/>
          <w:color w:val="000000"/>
          <w:kern w:val="0"/>
          <w:sz w:val="28"/>
          <w:szCs w:val="28"/>
          <w:lang w:bidi="ar"/>
        </w:rPr>
        <w:t>响应</w:t>
      </w:r>
      <w:r>
        <w:rPr>
          <w:color w:val="000000"/>
          <w:sz w:val="28"/>
          <w:szCs w:val="28"/>
        </w:rPr>
        <w:t>与故障处置</w:t>
      </w:r>
    </w:p>
    <w:p w14:paraId="7761325A">
      <w:pPr>
        <w:widowControl/>
        <w:spacing w:line="240" w:lineRule="atLeast"/>
        <w:ind w:firstLine="560" w:firstLineChars="200"/>
        <w:jc w:val="left"/>
        <w:rPr>
          <w:color w:val="000000"/>
          <w:sz w:val="28"/>
          <w:szCs w:val="28"/>
        </w:rPr>
      </w:pPr>
      <w:r>
        <w:rPr>
          <w:rFonts w:hint="eastAsia" w:ascii="宋体" w:hAnsi="宋体" w:eastAsia="宋体" w:cs="宋体"/>
          <w:color w:val="000000"/>
          <w:kern w:val="0"/>
          <w:sz w:val="28"/>
          <w:szCs w:val="28"/>
          <w:lang w:bidi="ar"/>
        </w:rPr>
        <w:t>1、</w:t>
      </w:r>
      <w:r>
        <w:rPr>
          <w:rFonts w:ascii="宋体" w:hAnsi="宋体" w:eastAsia="宋体" w:cs="宋体"/>
          <w:color w:val="000000"/>
          <w:kern w:val="0"/>
          <w:sz w:val="28"/>
          <w:szCs w:val="28"/>
          <w:lang w:bidi="ar"/>
        </w:rPr>
        <w:t>设立</w:t>
      </w:r>
      <w:r>
        <w:rPr>
          <w:rStyle w:val="10"/>
          <w:bCs/>
          <w:color w:val="000000"/>
          <w:sz w:val="28"/>
          <w:szCs w:val="28"/>
        </w:rPr>
        <w:t>7×24 小时全天候服务热线及故障受理专线</w:t>
      </w:r>
      <w:r>
        <w:rPr>
          <w:color w:val="000000"/>
          <w:sz w:val="28"/>
          <w:szCs w:val="28"/>
        </w:rPr>
        <w:t>，随时接收故障报修、服务咨询。</w:t>
      </w:r>
    </w:p>
    <w:p w14:paraId="3DD19599">
      <w:pPr>
        <w:widowControl/>
        <w:spacing w:line="240" w:lineRule="atLeast"/>
        <w:ind w:firstLine="562" w:firstLineChars="200"/>
        <w:jc w:val="left"/>
        <w:rPr>
          <w:color w:val="000000"/>
          <w:sz w:val="28"/>
          <w:szCs w:val="28"/>
        </w:rPr>
      </w:pPr>
      <w:r>
        <w:rPr>
          <w:rStyle w:val="10"/>
          <w:rFonts w:hint="eastAsia"/>
          <w:bCs/>
          <w:color w:val="000000"/>
          <w:sz w:val="28"/>
          <w:szCs w:val="28"/>
        </w:rPr>
        <w:t>2、</w:t>
      </w:r>
      <w:r>
        <w:rPr>
          <w:rStyle w:val="10"/>
          <w:bCs/>
          <w:color w:val="000000"/>
          <w:sz w:val="28"/>
          <w:szCs w:val="28"/>
        </w:rPr>
        <w:t>故障响应时长不超过 1 小时</w:t>
      </w:r>
      <w:r>
        <w:rPr>
          <w:color w:val="000000"/>
          <w:sz w:val="28"/>
          <w:szCs w:val="28"/>
        </w:rPr>
        <w:t>，一般线路、终端故障</w:t>
      </w:r>
      <w:r>
        <w:rPr>
          <w:rStyle w:val="10"/>
          <w:bCs/>
          <w:color w:val="000000"/>
          <w:sz w:val="28"/>
          <w:szCs w:val="28"/>
        </w:rPr>
        <w:t>修复时长不超过 4 小时</w:t>
      </w:r>
      <w:r>
        <w:rPr>
          <w:color w:val="000000"/>
          <w:sz w:val="28"/>
          <w:szCs w:val="28"/>
        </w:rPr>
        <w:t>；全年语音通信故障累计中断时长严格遵守服务约定。</w:t>
      </w:r>
    </w:p>
    <w:p w14:paraId="4CB14A82">
      <w:pPr>
        <w:widowControl/>
        <w:spacing w:line="240" w:lineRule="atLeast"/>
        <w:ind w:firstLine="560" w:firstLineChars="200"/>
        <w:jc w:val="left"/>
        <w:rPr>
          <w:color w:val="000000"/>
          <w:sz w:val="28"/>
          <w:szCs w:val="28"/>
        </w:rPr>
      </w:pPr>
      <w:r>
        <w:rPr>
          <w:rFonts w:hint="eastAsia"/>
          <w:color w:val="000000"/>
          <w:sz w:val="28"/>
          <w:szCs w:val="28"/>
        </w:rPr>
        <w:t>3、</w:t>
      </w:r>
      <w:r>
        <w:rPr>
          <w:color w:val="000000"/>
          <w:sz w:val="28"/>
          <w:szCs w:val="28"/>
        </w:rPr>
        <w:t>针对</w:t>
      </w:r>
      <w:r>
        <w:rPr>
          <w:rFonts w:hint="eastAsia"/>
          <w:color w:val="000000"/>
          <w:sz w:val="28"/>
          <w:szCs w:val="28"/>
        </w:rPr>
        <w:t>各类手术室</w:t>
      </w:r>
      <w:r>
        <w:rPr>
          <w:color w:val="000000"/>
          <w:sz w:val="28"/>
          <w:szCs w:val="28"/>
        </w:rPr>
        <w:t>、</w:t>
      </w:r>
      <w:r>
        <w:rPr>
          <w:rFonts w:hint="eastAsia"/>
          <w:color w:val="000000"/>
          <w:sz w:val="28"/>
          <w:szCs w:val="28"/>
        </w:rPr>
        <w:t>ICU</w:t>
      </w:r>
      <w:r>
        <w:rPr>
          <w:color w:val="000000"/>
          <w:sz w:val="28"/>
          <w:szCs w:val="28"/>
        </w:rPr>
        <w:t>室</w:t>
      </w:r>
      <w:r>
        <w:rPr>
          <w:rFonts w:hint="eastAsia"/>
          <w:color w:val="000000"/>
          <w:sz w:val="28"/>
          <w:szCs w:val="28"/>
        </w:rPr>
        <w:t>、DSA</w:t>
      </w:r>
      <w:r>
        <w:rPr>
          <w:rFonts w:hint="eastAsia"/>
          <w:color w:val="000000"/>
          <w:sz w:val="28"/>
          <w:szCs w:val="28"/>
          <w:lang w:eastAsia="zh-CN"/>
        </w:rPr>
        <w:t>、</w:t>
      </w:r>
      <w:r>
        <w:rPr>
          <w:rFonts w:hint="eastAsia"/>
          <w:color w:val="000000"/>
          <w:sz w:val="28"/>
          <w:szCs w:val="28"/>
          <w:lang w:val="en-US" w:eastAsia="zh-CN"/>
        </w:rPr>
        <w:t>急救</w:t>
      </w:r>
      <w:r>
        <w:rPr>
          <w:color w:val="000000"/>
          <w:sz w:val="28"/>
          <w:szCs w:val="28"/>
        </w:rPr>
        <w:t>等重点应急点位故障，启动最高优先级应急处置流程，优先派单、优先抢修，最大限度缩短通信中断时间。</w:t>
      </w:r>
    </w:p>
    <w:p w14:paraId="4AB59E3D">
      <w:pPr>
        <w:pStyle w:val="4"/>
        <w:widowControl/>
        <w:spacing w:beforeAutospacing="0" w:afterAutospacing="0" w:line="240" w:lineRule="atLeast"/>
        <w:rPr>
          <w:rFonts w:hint="default"/>
          <w:color w:val="000000"/>
          <w:sz w:val="28"/>
          <w:szCs w:val="28"/>
        </w:rPr>
      </w:pPr>
      <w:r>
        <w:rPr>
          <w:color w:val="000000"/>
          <w:sz w:val="28"/>
          <w:szCs w:val="28"/>
        </w:rPr>
        <w:t>（五）服务质量要求</w:t>
      </w:r>
    </w:p>
    <w:p w14:paraId="4013ADEA">
      <w:pPr>
        <w:widowControl/>
        <w:spacing w:line="240" w:lineRule="atLeast"/>
        <w:ind w:firstLine="560" w:firstLineChars="200"/>
        <w:jc w:val="left"/>
        <w:rPr>
          <w:color w:val="000000"/>
          <w:sz w:val="28"/>
          <w:szCs w:val="28"/>
        </w:rPr>
      </w:pPr>
      <w:r>
        <w:rPr>
          <w:rFonts w:ascii="宋体" w:hAnsi="宋体" w:eastAsia="宋体" w:cs="宋体"/>
          <w:color w:val="000000"/>
          <w:kern w:val="0"/>
          <w:sz w:val="28"/>
          <w:szCs w:val="28"/>
          <w:lang w:bidi="ar"/>
        </w:rPr>
        <w:t>全程保障语音通话质量，无杂音、断音、串线、掉线等问题；线路传输稳定，故障率符合行业及院方使用标准，全面保障院区日常办公、诊疗及应急通信需求。</w:t>
      </w:r>
    </w:p>
    <w:p w14:paraId="27807CD2">
      <w:pPr>
        <w:pStyle w:val="3"/>
        <w:widowControl/>
        <w:spacing w:beforeAutospacing="0" w:afterAutospacing="0" w:line="240" w:lineRule="atLeast"/>
        <w:rPr>
          <w:rFonts w:hint="default"/>
          <w:color w:val="000000"/>
          <w:sz w:val="28"/>
          <w:szCs w:val="28"/>
        </w:rPr>
      </w:pPr>
      <w:r>
        <w:rPr>
          <w:color w:val="000000"/>
          <w:sz w:val="28"/>
          <w:szCs w:val="28"/>
        </w:rPr>
        <w:t>六、其他要求</w:t>
      </w:r>
    </w:p>
    <w:p w14:paraId="72B3CCFA">
      <w:pPr>
        <w:widowControl/>
        <w:spacing w:line="240" w:lineRule="atLeast"/>
        <w:ind w:firstLine="560" w:firstLineChars="200"/>
        <w:jc w:val="left"/>
        <w:rPr>
          <w:color w:val="000000"/>
          <w:sz w:val="28"/>
          <w:szCs w:val="28"/>
        </w:rPr>
      </w:pPr>
      <w:r>
        <w:rPr>
          <w:rFonts w:hint="eastAsia"/>
          <w:color w:val="000000"/>
          <w:sz w:val="28"/>
          <w:szCs w:val="28"/>
        </w:rPr>
        <w:t>1、</w:t>
      </w:r>
      <w:r>
        <w:rPr>
          <w:color w:val="000000"/>
          <w:sz w:val="28"/>
          <w:szCs w:val="28"/>
        </w:rPr>
        <w:t>服务周期、费用结算、履约标准等按照采购合同约定执行。</w:t>
      </w:r>
    </w:p>
    <w:p w14:paraId="148C069B">
      <w:pPr>
        <w:widowControl/>
        <w:spacing w:line="240" w:lineRule="atLeast"/>
        <w:ind w:firstLine="560" w:firstLineChars="200"/>
        <w:jc w:val="left"/>
        <w:rPr>
          <w:color w:val="000000"/>
          <w:sz w:val="28"/>
          <w:szCs w:val="28"/>
        </w:rPr>
      </w:pPr>
      <w:r>
        <w:rPr>
          <w:rFonts w:hint="eastAsia"/>
          <w:color w:val="000000"/>
          <w:sz w:val="28"/>
          <w:szCs w:val="28"/>
        </w:rPr>
        <w:t>2、中标方</w:t>
      </w:r>
      <w:r>
        <w:rPr>
          <w:color w:val="000000"/>
          <w:sz w:val="28"/>
          <w:szCs w:val="28"/>
        </w:rPr>
        <w:t>所有施工、运维人员须遵守医院院区管理规定</w:t>
      </w:r>
      <w:r>
        <w:rPr>
          <w:rFonts w:hint="eastAsia"/>
          <w:color w:val="000000"/>
          <w:sz w:val="28"/>
          <w:szCs w:val="28"/>
          <w:lang w:val="en-US" w:eastAsia="zh-CN"/>
        </w:rPr>
        <w:t>及院区施工单位的各项规定</w:t>
      </w:r>
      <w:r>
        <w:rPr>
          <w:color w:val="000000"/>
          <w:sz w:val="28"/>
          <w:szCs w:val="28"/>
        </w:rPr>
        <w:t>，持证上岗，做好院内安全防护。</w:t>
      </w:r>
    </w:p>
    <w:p w14:paraId="1034B4B8">
      <w:pPr>
        <w:widowControl/>
        <w:spacing w:line="240" w:lineRule="atLeast"/>
        <w:ind w:firstLine="560" w:firstLineChars="200"/>
        <w:jc w:val="left"/>
        <w:rPr>
          <w:color w:val="000000"/>
          <w:sz w:val="28"/>
          <w:szCs w:val="28"/>
        </w:rPr>
      </w:pPr>
      <w:r>
        <w:rPr>
          <w:rFonts w:hint="eastAsia"/>
          <w:color w:val="000000"/>
          <w:sz w:val="28"/>
          <w:szCs w:val="28"/>
        </w:rPr>
        <w:t>3、</w:t>
      </w:r>
      <w:r>
        <w:rPr>
          <w:color w:val="000000"/>
          <w:sz w:val="28"/>
          <w:szCs w:val="28"/>
        </w:rPr>
        <w:t>项目整体验收以院方现场测试、功能核验为准，所有功能及服务指标达标后方视为验收合格。</w:t>
      </w:r>
    </w:p>
    <w:p w14:paraId="47A322FC">
      <w:pPr>
        <w:rPr>
          <w:sz w:val="28"/>
          <w:szCs w:val="28"/>
        </w:rPr>
      </w:pPr>
    </w:p>
    <w:p w14:paraId="13EBD2CE">
      <w:pPr>
        <w:jc w:val="center"/>
        <w:rPr>
          <w:sz w:val="28"/>
          <w:szCs w:val="28"/>
        </w:rPr>
      </w:pPr>
      <w:r>
        <w:rPr>
          <w:rFonts w:hint="eastAsia"/>
          <w:sz w:val="28"/>
          <w:szCs w:val="28"/>
        </w:rPr>
        <w:t>赤峰市医院新城分院一期智能化工程-语音点位统计</w:t>
      </w:r>
    </w:p>
    <w:tbl>
      <w:tblPr>
        <w:tblStyle w:val="8"/>
        <w:tblW w:w="0" w:type="auto"/>
        <w:tblInd w:w="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140"/>
        <w:gridCol w:w="3168"/>
        <w:gridCol w:w="1908"/>
        <w:gridCol w:w="1776"/>
      </w:tblGrid>
      <w:tr w14:paraId="7E60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7" w:hRule="atLeast"/>
        </w:trPr>
        <w:tc>
          <w:tcPr>
            <w:tcW w:w="1140" w:type="dxa"/>
            <w:vAlign w:val="center"/>
          </w:tcPr>
          <w:p w14:paraId="776F2C5F">
            <w:pPr>
              <w:jc w:val="center"/>
              <w:rPr>
                <w:rFonts w:hint="eastAsia" w:eastAsiaTheme="minorEastAsia"/>
                <w:sz w:val="24"/>
                <w:szCs w:val="24"/>
                <w:vertAlign w:val="baseline"/>
                <w:lang w:val="en-US" w:eastAsia="zh-CN"/>
              </w:rPr>
            </w:pPr>
            <w:r>
              <w:rPr>
                <w:rFonts w:hint="eastAsia"/>
                <w:sz w:val="24"/>
                <w:szCs w:val="24"/>
                <w:vertAlign w:val="baseline"/>
                <w:lang w:val="en-US" w:eastAsia="zh-CN"/>
              </w:rPr>
              <w:t>序号</w:t>
            </w:r>
          </w:p>
        </w:tc>
        <w:tc>
          <w:tcPr>
            <w:tcW w:w="3168" w:type="dxa"/>
            <w:vAlign w:val="center"/>
          </w:tcPr>
          <w:p w14:paraId="7FB90CBF">
            <w:pPr>
              <w:jc w:val="center"/>
              <w:rPr>
                <w:rFonts w:hint="eastAsia" w:eastAsiaTheme="minorEastAsia"/>
                <w:sz w:val="24"/>
                <w:szCs w:val="24"/>
                <w:vertAlign w:val="baseline"/>
                <w:lang w:val="en-US" w:eastAsia="zh-CN"/>
              </w:rPr>
            </w:pPr>
            <w:r>
              <w:rPr>
                <w:rFonts w:hint="eastAsia"/>
                <w:sz w:val="24"/>
                <w:szCs w:val="24"/>
                <w:vertAlign w:val="baseline"/>
                <w:lang w:val="en-US" w:eastAsia="zh-CN"/>
              </w:rPr>
              <w:t>区域</w:t>
            </w:r>
          </w:p>
        </w:tc>
        <w:tc>
          <w:tcPr>
            <w:tcW w:w="1908" w:type="dxa"/>
            <w:vAlign w:val="center"/>
          </w:tcPr>
          <w:p w14:paraId="214BE7A3">
            <w:pPr>
              <w:jc w:val="center"/>
              <w:rPr>
                <w:rFonts w:hint="eastAsia" w:eastAsiaTheme="minorEastAsia"/>
                <w:sz w:val="24"/>
                <w:szCs w:val="24"/>
                <w:vertAlign w:val="baseline"/>
                <w:lang w:val="en-US" w:eastAsia="zh-CN"/>
              </w:rPr>
            </w:pPr>
            <w:r>
              <w:rPr>
                <w:rFonts w:hint="eastAsia"/>
                <w:sz w:val="24"/>
                <w:szCs w:val="24"/>
                <w:vertAlign w:val="baseline"/>
                <w:lang w:val="en-US" w:eastAsia="zh-CN"/>
              </w:rPr>
              <w:t>数量</w:t>
            </w:r>
          </w:p>
        </w:tc>
        <w:tc>
          <w:tcPr>
            <w:tcW w:w="1776" w:type="dxa"/>
            <w:vAlign w:val="center"/>
          </w:tcPr>
          <w:p w14:paraId="703FED97">
            <w:pPr>
              <w:jc w:val="center"/>
              <w:rPr>
                <w:rFonts w:hint="default" w:eastAsiaTheme="minorEastAsia"/>
                <w:sz w:val="24"/>
                <w:szCs w:val="24"/>
                <w:vertAlign w:val="baseline"/>
                <w:lang w:val="en-US" w:eastAsia="zh-CN"/>
              </w:rPr>
            </w:pPr>
            <w:r>
              <w:rPr>
                <w:rFonts w:hint="eastAsia"/>
                <w:sz w:val="24"/>
                <w:szCs w:val="24"/>
                <w:vertAlign w:val="baseline"/>
                <w:lang w:val="en-US" w:eastAsia="zh-CN"/>
              </w:rPr>
              <w:t>单位</w:t>
            </w:r>
          </w:p>
        </w:tc>
      </w:tr>
      <w:tr w14:paraId="14C2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7" w:hRule="atLeast"/>
        </w:trPr>
        <w:tc>
          <w:tcPr>
            <w:tcW w:w="1140" w:type="dxa"/>
            <w:vAlign w:val="center"/>
          </w:tcPr>
          <w:p w14:paraId="4E2DF3BD">
            <w:pPr>
              <w:jc w:val="center"/>
              <w:rPr>
                <w:rFonts w:hint="eastAsia" w:eastAsiaTheme="minorEastAsia"/>
                <w:sz w:val="24"/>
                <w:szCs w:val="24"/>
                <w:vertAlign w:val="baseline"/>
                <w:lang w:val="en-US" w:eastAsia="zh-CN"/>
              </w:rPr>
            </w:pPr>
            <w:r>
              <w:rPr>
                <w:rFonts w:hint="eastAsia"/>
                <w:sz w:val="24"/>
                <w:szCs w:val="24"/>
                <w:vertAlign w:val="baseline"/>
                <w:lang w:val="en-US" w:eastAsia="zh-CN"/>
              </w:rPr>
              <w:t>1</w:t>
            </w:r>
          </w:p>
        </w:tc>
        <w:tc>
          <w:tcPr>
            <w:tcW w:w="3168" w:type="dxa"/>
            <w:vAlign w:val="center"/>
          </w:tcPr>
          <w:p w14:paraId="24D351E1">
            <w:pPr>
              <w:jc w:val="center"/>
              <w:rPr>
                <w:rFonts w:hint="default" w:eastAsiaTheme="minorEastAsia"/>
                <w:sz w:val="24"/>
                <w:szCs w:val="24"/>
                <w:vertAlign w:val="baseline"/>
                <w:lang w:val="en-US" w:eastAsia="zh-CN"/>
              </w:rPr>
            </w:pPr>
            <w:r>
              <w:rPr>
                <w:rFonts w:hint="eastAsia"/>
                <w:sz w:val="24"/>
                <w:szCs w:val="24"/>
                <w:vertAlign w:val="baseline"/>
                <w:lang w:val="en-US" w:eastAsia="zh-CN"/>
              </w:rPr>
              <w:t>2#病房楼</w:t>
            </w:r>
          </w:p>
        </w:tc>
        <w:tc>
          <w:tcPr>
            <w:tcW w:w="1908" w:type="dxa"/>
            <w:vAlign w:val="center"/>
          </w:tcPr>
          <w:p w14:paraId="31BFC684">
            <w:pPr>
              <w:jc w:val="center"/>
              <w:rPr>
                <w:sz w:val="24"/>
                <w:szCs w:val="24"/>
                <w:vertAlign w:val="baseline"/>
              </w:rPr>
            </w:pPr>
            <w:r>
              <w:rPr>
                <w:rFonts w:hint="eastAsia"/>
                <w:sz w:val="24"/>
                <w:szCs w:val="24"/>
                <w:vertAlign w:val="baseline"/>
              </w:rPr>
              <w:t>238</w:t>
            </w:r>
          </w:p>
        </w:tc>
        <w:tc>
          <w:tcPr>
            <w:tcW w:w="1776" w:type="dxa"/>
            <w:vAlign w:val="center"/>
          </w:tcPr>
          <w:p w14:paraId="7D4F0EDF">
            <w:pPr>
              <w:jc w:val="center"/>
              <w:rPr>
                <w:rFonts w:hint="eastAsia" w:eastAsiaTheme="minorEastAsia"/>
                <w:sz w:val="24"/>
                <w:szCs w:val="24"/>
                <w:vertAlign w:val="baseline"/>
                <w:lang w:val="en-US" w:eastAsia="zh-CN"/>
              </w:rPr>
            </w:pPr>
            <w:r>
              <w:rPr>
                <w:rFonts w:hint="eastAsia"/>
                <w:sz w:val="24"/>
                <w:szCs w:val="24"/>
                <w:vertAlign w:val="baseline"/>
                <w:lang w:val="en-US" w:eastAsia="zh-CN"/>
              </w:rPr>
              <w:t>个</w:t>
            </w:r>
          </w:p>
        </w:tc>
      </w:tr>
      <w:tr w14:paraId="3240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7" w:hRule="atLeast"/>
        </w:trPr>
        <w:tc>
          <w:tcPr>
            <w:tcW w:w="1140" w:type="dxa"/>
            <w:vAlign w:val="center"/>
          </w:tcPr>
          <w:p w14:paraId="13FCAA29">
            <w:pPr>
              <w:jc w:val="center"/>
              <w:rPr>
                <w:rFonts w:hint="eastAsia" w:eastAsiaTheme="minorEastAsia"/>
                <w:sz w:val="24"/>
                <w:szCs w:val="24"/>
                <w:vertAlign w:val="baseline"/>
                <w:lang w:val="en-US" w:eastAsia="zh-CN"/>
              </w:rPr>
            </w:pPr>
            <w:r>
              <w:rPr>
                <w:rFonts w:hint="eastAsia"/>
                <w:sz w:val="24"/>
                <w:szCs w:val="24"/>
                <w:vertAlign w:val="baseline"/>
                <w:lang w:val="en-US" w:eastAsia="zh-CN"/>
              </w:rPr>
              <w:t>2</w:t>
            </w:r>
          </w:p>
        </w:tc>
        <w:tc>
          <w:tcPr>
            <w:tcW w:w="3168" w:type="dxa"/>
            <w:vAlign w:val="center"/>
          </w:tcPr>
          <w:p w14:paraId="25F33C5C">
            <w:pPr>
              <w:jc w:val="center"/>
              <w:rPr>
                <w:sz w:val="24"/>
                <w:szCs w:val="24"/>
                <w:vertAlign w:val="baseline"/>
              </w:rPr>
            </w:pPr>
            <w:r>
              <w:rPr>
                <w:rFonts w:hint="eastAsia"/>
                <w:sz w:val="24"/>
                <w:szCs w:val="24"/>
                <w:vertAlign w:val="baseline"/>
              </w:rPr>
              <w:t>门诊楼</w:t>
            </w:r>
          </w:p>
        </w:tc>
        <w:tc>
          <w:tcPr>
            <w:tcW w:w="1908" w:type="dxa"/>
            <w:vAlign w:val="center"/>
          </w:tcPr>
          <w:p w14:paraId="13DCFACA">
            <w:pPr>
              <w:jc w:val="center"/>
              <w:rPr>
                <w:sz w:val="24"/>
                <w:szCs w:val="24"/>
                <w:vertAlign w:val="baseline"/>
              </w:rPr>
            </w:pPr>
            <w:r>
              <w:rPr>
                <w:rFonts w:hint="eastAsia"/>
                <w:sz w:val="24"/>
                <w:szCs w:val="24"/>
                <w:vertAlign w:val="baseline"/>
              </w:rPr>
              <w:t>490</w:t>
            </w:r>
          </w:p>
        </w:tc>
        <w:tc>
          <w:tcPr>
            <w:tcW w:w="1776" w:type="dxa"/>
            <w:vAlign w:val="center"/>
          </w:tcPr>
          <w:p w14:paraId="12CEF73A">
            <w:pPr>
              <w:jc w:val="center"/>
              <w:rPr>
                <w:sz w:val="24"/>
                <w:szCs w:val="24"/>
                <w:vertAlign w:val="baseline"/>
              </w:rPr>
            </w:pPr>
            <w:r>
              <w:rPr>
                <w:rFonts w:hint="eastAsia"/>
                <w:sz w:val="24"/>
                <w:szCs w:val="24"/>
                <w:vertAlign w:val="baseline"/>
                <w:lang w:val="en-US" w:eastAsia="zh-CN"/>
              </w:rPr>
              <w:t>个</w:t>
            </w:r>
          </w:p>
        </w:tc>
      </w:tr>
      <w:tr w14:paraId="6C9A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140" w:type="dxa"/>
            <w:vAlign w:val="center"/>
          </w:tcPr>
          <w:p w14:paraId="4ED4FE8D">
            <w:pPr>
              <w:jc w:val="center"/>
              <w:rPr>
                <w:rFonts w:hint="eastAsia" w:eastAsiaTheme="minorEastAsia"/>
                <w:sz w:val="24"/>
                <w:szCs w:val="24"/>
                <w:vertAlign w:val="baseline"/>
                <w:lang w:val="en-US" w:eastAsia="zh-CN"/>
              </w:rPr>
            </w:pPr>
            <w:r>
              <w:rPr>
                <w:rFonts w:hint="eastAsia"/>
                <w:sz w:val="24"/>
                <w:szCs w:val="24"/>
                <w:vertAlign w:val="baseline"/>
                <w:lang w:val="en-US" w:eastAsia="zh-CN"/>
              </w:rPr>
              <w:t>3</w:t>
            </w:r>
          </w:p>
        </w:tc>
        <w:tc>
          <w:tcPr>
            <w:tcW w:w="3168" w:type="dxa"/>
            <w:vAlign w:val="center"/>
          </w:tcPr>
          <w:p w14:paraId="1341EE3A">
            <w:pPr>
              <w:jc w:val="center"/>
              <w:rPr>
                <w:sz w:val="24"/>
                <w:szCs w:val="24"/>
                <w:vertAlign w:val="baseline"/>
              </w:rPr>
            </w:pPr>
            <w:r>
              <w:rPr>
                <w:rFonts w:hint="eastAsia"/>
                <w:sz w:val="24"/>
                <w:szCs w:val="24"/>
                <w:vertAlign w:val="baseline"/>
              </w:rPr>
              <w:t>医技楼</w:t>
            </w:r>
          </w:p>
        </w:tc>
        <w:tc>
          <w:tcPr>
            <w:tcW w:w="1908" w:type="dxa"/>
            <w:vAlign w:val="center"/>
          </w:tcPr>
          <w:p w14:paraId="43E14FE3">
            <w:pPr>
              <w:jc w:val="center"/>
              <w:rPr>
                <w:rFonts w:hint="eastAsia" w:eastAsiaTheme="minorEastAsia"/>
                <w:sz w:val="24"/>
                <w:szCs w:val="24"/>
                <w:vertAlign w:val="baseline"/>
                <w:lang w:eastAsia="zh-CN"/>
              </w:rPr>
            </w:pPr>
            <w:r>
              <w:rPr>
                <w:rFonts w:hint="eastAsia"/>
                <w:sz w:val="24"/>
                <w:szCs w:val="24"/>
                <w:vertAlign w:val="baseline"/>
              </w:rPr>
              <w:t>20</w:t>
            </w:r>
            <w:r>
              <w:rPr>
                <w:rFonts w:hint="eastAsia"/>
                <w:sz w:val="24"/>
                <w:szCs w:val="24"/>
                <w:vertAlign w:val="baseline"/>
                <w:lang w:val="en-US" w:eastAsia="zh-CN"/>
              </w:rPr>
              <w:t>3</w:t>
            </w:r>
          </w:p>
        </w:tc>
        <w:tc>
          <w:tcPr>
            <w:tcW w:w="1776" w:type="dxa"/>
            <w:vAlign w:val="center"/>
          </w:tcPr>
          <w:p w14:paraId="363CB7C3">
            <w:pPr>
              <w:jc w:val="center"/>
              <w:rPr>
                <w:sz w:val="24"/>
                <w:szCs w:val="24"/>
                <w:vertAlign w:val="baseline"/>
              </w:rPr>
            </w:pPr>
            <w:r>
              <w:rPr>
                <w:rFonts w:hint="eastAsia"/>
                <w:sz w:val="24"/>
                <w:szCs w:val="24"/>
                <w:vertAlign w:val="baseline"/>
                <w:lang w:val="en-US" w:eastAsia="zh-CN"/>
              </w:rPr>
              <w:t>个</w:t>
            </w:r>
          </w:p>
        </w:tc>
      </w:tr>
      <w:tr w14:paraId="4CF7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7" w:hRule="atLeast"/>
        </w:trPr>
        <w:tc>
          <w:tcPr>
            <w:tcW w:w="1140" w:type="dxa"/>
            <w:vAlign w:val="center"/>
          </w:tcPr>
          <w:p w14:paraId="0BEA02DC">
            <w:pPr>
              <w:jc w:val="center"/>
              <w:rPr>
                <w:rFonts w:hint="eastAsia" w:eastAsiaTheme="minorEastAsia"/>
                <w:sz w:val="24"/>
                <w:szCs w:val="24"/>
                <w:vertAlign w:val="baseline"/>
                <w:lang w:val="en-US" w:eastAsia="zh-CN"/>
              </w:rPr>
            </w:pPr>
            <w:r>
              <w:rPr>
                <w:rFonts w:hint="eastAsia"/>
                <w:sz w:val="24"/>
                <w:szCs w:val="24"/>
                <w:vertAlign w:val="baseline"/>
                <w:lang w:val="en-US" w:eastAsia="zh-CN"/>
              </w:rPr>
              <w:t>4</w:t>
            </w:r>
          </w:p>
        </w:tc>
        <w:tc>
          <w:tcPr>
            <w:tcW w:w="3168" w:type="dxa"/>
            <w:vAlign w:val="center"/>
          </w:tcPr>
          <w:p w14:paraId="486EB3E3">
            <w:pPr>
              <w:jc w:val="center"/>
              <w:rPr>
                <w:sz w:val="24"/>
                <w:szCs w:val="24"/>
                <w:vertAlign w:val="baseline"/>
              </w:rPr>
            </w:pPr>
            <w:r>
              <w:rPr>
                <w:rFonts w:hint="eastAsia"/>
                <w:sz w:val="24"/>
                <w:szCs w:val="24"/>
                <w:vertAlign w:val="baseline"/>
              </w:rPr>
              <w:t>地下车库</w:t>
            </w:r>
          </w:p>
        </w:tc>
        <w:tc>
          <w:tcPr>
            <w:tcW w:w="1908" w:type="dxa"/>
            <w:vAlign w:val="center"/>
          </w:tcPr>
          <w:p w14:paraId="7EDD6218">
            <w:pPr>
              <w:jc w:val="center"/>
              <w:rPr>
                <w:rFonts w:hint="default" w:eastAsiaTheme="minorEastAsia"/>
                <w:sz w:val="24"/>
                <w:szCs w:val="24"/>
                <w:vertAlign w:val="baseline"/>
                <w:lang w:val="en-US" w:eastAsia="zh-CN"/>
              </w:rPr>
            </w:pPr>
            <w:r>
              <w:rPr>
                <w:rFonts w:hint="eastAsia"/>
                <w:sz w:val="24"/>
                <w:szCs w:val="24"/>
                <w:vertAlign w:val="baseline"/>
                <w:lang w:val="en-US" w:eastAsia="zh-CN"/>
              </w:rPr>
              <w:t>22</w:t>
            </w:r>
          </w:p>
        </w:tc>
        <w:tc>
          <w:tcPr>
            <w:tcW w:w="1776" w:type="dxa"/>
            <w:vAlign w:val="center"/>
          </w:tcPr>
          <w:p w14:paraId="5FA12DA2">
            <w:pPr>
              <w:jc w:val="center"/>
              <w:rPr>
                <w:sz w:val="24"/>
                <w:szCs w:val="24"/>
                <w:vertAlign w:val="baseline"/>
              </w:rPr>
            </w:pPr>
            <w:r>
              <w:rPr>
                <w:rFonts w:hint="eastAsia"/>
                <w:sz w:val="24"/>
                <w:szCs w:val="24"/>
                <w:vertAlign w:val="baseline"/>
                <w:lang w:val="en-US" w:eastAsia="zh-CN"/>
              </w:rPr>
              <w:t>个</w:t>
            </w:r>
          </w:p>
        </w:tc>
      </w:tr>
      <w:tr w14:paraId="0675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7" w:hRule="atLeast"/>
        </w:trPr>
        <w:tc>
          <w:tcPr>
            <w:tcW w:w="1140" w:type="dxa"/>
            <w:vAlign w:val="center"/>
          </w:tcPr>
          <w:p w14:paraId="41315C3C">
            <w:pPr>
              <w:jc w:val="center"/>
              <w:rPr>
                <w:rFonts w:hint="default"/>
                <w:sz w:val="24"/>
                <w:szCs w:val="24"/>
                <w:vertAlign w:val="baseline"/>
                <w:lang w:val="en-US" w:eastAsia="zh-CN"/>
              </w:rPr>
            </w:pPr>
            <w:r>
              <w:rPr>
                <w:rFonts w:hint="eastAsia"/>
                <w:sz w:val="24"/>
                <w:szCs w:val="24"/>
                <w:vertAlign w:val="baseline"/>
                <w:lang w:val="en-US" w:eastAsia="zh-CN"/>
              </w:rPr>
              <w:t>5</w:t>
            </w:r>
          </w:p>
        </w:tc>
        <w:tc>
          <w:tcPr>
            <w:tcW w:w="3168" w:type="dxa"/>
            <w:vAlign w:val="center"/>
          </w:tcPr>
          <w:p w14:paraId="072C4D7A">
            <w:pPr>
              <w:jc w:val="center"/>
              <w:rPr>
                <w:sz w:val="24"/>
                <w:szCs w:val="24"/>
                <w:vertAlign w:val="baseline"/>
              </w:rPr>
            </w:pPr>
            <w:r>
              <w:rPr>
                <w:rFonts w:hint="eastAsia"/>
                <w:sz w:val="24"/>
                <w:szCs w:val="24"/>
                <w:vertAlign w:val="baseline"/>
              </w:rPr>
              <w:t>合计</w:t>
            </w:r>
          </w:p>
        </w:tc>
        <w:tc>
          <w:tcPr>
            <w:tcW w:w="1908" w:type="dxa"/>
            <w:vAlign w:val="center"/>
          </w:tcPr>
          <w:p w14:paraId="1ED69584">
            <w:pPr>
              <w:jc w:val="center"/>
              <w:rPr>
                <w:rFonts w:hint="eastAsia" w:eastAsiaTheme="minorEastAsia"/>
                <w:sz w:val="24"/>
                <w:szCs w:val="24"/>
                <w:vertAlign w:val="baseline"/>
                <w:lang w:val="en-US" w:eastAsia="zh-CN"/>
              </w:rPr>
            </w:pPr>
            <w:r>
              <w:rPr>
                <w:rFonts w:hint="eastAsia"/>
                <w:sz w:val="24"/>
                <w:szCs w:val="24"/>
                <w:vertAlign w:val="baseline"/>
              </w:rPr>
              <w:t>95</w:t>
            </w:r>
            <w:r>
              <w:rPr>
                <w:rFonts w:hint="eastAsia"/>
                <w:sz w:val="24"/>
                <w:szCs w:val="24"/>
                <w:vertAlign w:val="baseline"/>
                <w:lang w:val="en-US" w:eastAsia="zh-CN"/>
              </w:rPr>
              <w:t>3</w:t>
            </w:r>
          </w:p>
        </w:tc>
        <w:tc>
          <w:tcPr>
            <w:tcW w:w="1776" w:type="dxa"/>
            <w:vAlign w:val="center"/>
          </w:tcPr>
          <w:p w14:paraId="569DD496">
            <w:pPr>
              <w:jc w:val="center"/>
              <w:rPr>
                <w:sz w:val="24"/>
                <w:szCs w:val="24"/>
                <w:vertAlign w:val="baseline"/>
              </w:rPr>
            </w:pPr>
            <w:r>
              <w:rPr>
                <w:rFonts w:hint="eastAsia"/>
                <w:sz w:val="24"/>
                <w:szCs w:val="24"/>
                <w:vertAlign w:val="baseline"/>
                <w:lang w:val="en-US" w:eastAsia="zh-CN"/>
              </w:rPr>
              <w:t>个</w:t>
            </w:r>
          </w:p>
        </w:tc>
      </w:tr>
    </w:tbl>
    <w:p w14:paraId="5A0AA159">
      <w:pPr>
        <w:rPr>
          <w:sz w:val="28"/>
          <w:szCs w:val="28"/>
        </w:rPr>
      </w:pPr>
    </w:p>
    <w:p w14:paraId="3DA04133">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4653BC"/>
    <w:rsid w:val="0049043C"/>
    <w:rsid w:val="007F260E"/>
    <w:rsid w:val="00A97BC6"/>
    <w:rsid w:val="00E719C7"/>
    <w:rsid w:val="033B4DF3"/>
    <w:rsid w:val="2F8D6403"/>
    <w:rsid w:val="35431A3E"/>
    <w:rsid w:val="390239BE"/>
    <w:rsid w:val="3C4068B0"/>
    <w:rsid w:val="49860DA1"/>
    <w:rsid w:val="4E4653BC"/>
    <w:rsid w:val="7A514C13"/>
    <w:rsid w:val="7B776E41"/>
    <w:rsid w:val="7C8004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semiHidden/>
    <w:unhideWhenUs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customStyle="1" w:styleId="11">
    <w:name w:val="页眉 Char"/>
    <w:basedOn w:val="9"/>
    <w:link w:val="6"/>
    <w:qFormat/>
    <w:uiPriority w:val="0"/>
    <w:rPr>
      <w:rFonts w:asciiTheme="minorHAnsi" w:hAnsiTheme="minorHAnsi" w:eastAsiaTheme="minorEastAsia" w:cstheme="minorBidi"/>
      <w:kern w:val="2"/>
      <w:sz w:val="18"/>
      <w:szCs w:val="18"/>
    </w:rPr>
  </w:style>
  <w:style w:type="character" w:customStyle="1" w:styleId="12">
    <w:name w:val="页脚 Char"/>
    <w:basedOn w:val="9"/>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491</Words>
  <Characters>497</Characters>
  <Lines>122</Lines>
  <Paragraphs>153</Paragraphs>
  <TotalTime>7</TotalTime>
  <ScaleCrop>false</ScaleCrop>
  <LinksUpToDate>false</LinksUpToDate>
  <CharactersWithSpaces>497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2026-06-12T06:46:00Z</dcterms:created>
  <dc:creator>c</dc:creator>
  <cp:lastModifiedBy>然</cp:lastModifiedBy>
  <dcterms:modified xsi:type="dcterms:W3CDTF">2026-09-18T07:26:39Z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AFA6E0420B144A88826A083EC0FE8A70_11</vt:lpwstr>
  </property>
  <property fmtid="{D5CDD505-2E9C-101B-9397-08002B2CF9AE}" pid="4" name="KSOTemplateDocerSaveRecord">
    <vt:lpwstr>eyJoZGlkIjoiMWI0YjRhODg1ZjY1ODNjNjFlYmE4ZWEwYmNjZWYxMmQiLCJ1c2VySWQiOiI0ODc2MTM1NjEifQ==</vt:lpwstr>
  </property>
</Properties>
</file>