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A2E385">
      <w:pPr>
        <w:pStyle w:val="2"/>
        <w:keepNext/>
        <w:keepLines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480" w:after="0" w:line="276" w:lineRule="auto"/>
        <w:jc w:val="center"/>
        <w:rPr>
          <w:rFonts w:asciiTheme="majorHAnsi" w:hAnsiTheme="majorHAnsi" w:eastAsiaTheme="majorEastAsia" w:cstheme="majorBidi"/>
          <w:sz w:val="40"/>
          <w:szCs w:val="40"/>
        </w:rPr>
      </w:pPr>
      <w:r>
        <w:rPr>
          <w:rFonts w:asciiTheme="majorHAnsi" w:hAnsiTheme="majorHAnsi" w:eastAsiaTheme="majorEastAsia" w:cstheme="majorBidi"/>
          <w:sz w:val="40"/>
          <w:szCs w:val="40"/>
        </w:rPr>
        <w:t>急救一体化系统核心安全防护及手机定位服务运维</w:t>
      </w:r>
      <w:r>
        <w:rPr>
          <w:rFonts w:hint="eastAsia" w:asciiTheme="majorHAnsi" w:hAnsiTheme="majorHAnsi" w:eastAsiaTheme="majorEastAsia" w:cstheme="majorBidi"/>
          <w:sz w:val="40"/>
          <w:szCs w:val="40"/>
        </w:rPr>
        <w:t>服务</w:t>
      </w:r>
      <w:r>
        <w:rPr>
          <w:rFonts w:asciiTheme="majorHAnsi" w:hAnsiTheme="majorHAnsi" w:eastAsiaTheme="majorEastAsia" w:cstheme="majorBidi"/>
          <w:sz w:val="40"/>
          <w:szCs w:val="40"/>
        </w:rPr>
        <w:t>参数</w:t>
      </w:r>
    </w:p>
    <w:p w14:paraId="35FF3BDC">
      <w:pPr>
        <w:widowControl/>
        <w:spacing w:before="240" w:beforeLines="100"/>
        <w:rPr>
          <w:rFonts w:hint="eastAsia" w:ascii="黑体" w:hAnsi="黑体" w:eastAsia="黑体" w:cstheme="minorBidi"/>
          <w:bCs/>
          <w:sz w:val="28"/>
          <w:szCs w:val="28"/>
        </w:rPr>
      </w:pPr>
      <w:r>
        <w:rPr>
          <w:rFonts w:ascii="黑体" w:hAnsi="黑体" w:eastAsia="黑体" w:cstheme="minorBidi"/>
          <w:bCs/>
          <w:sz w:val="28"/>
          <w:szCs w:val="28"/>
        </w:rPr>
        <w:t>一、 项目概况</w:t>
      </w:r>
    </w:p>
    <w:p w14:paraId="1BA838E5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本项目旨在保障120急救网络一体化系统（含赤峰市急救中心及下辖12个旗县急救分中心）核心业务的连续性与数据安全性。针对现网已投入运行的网络安全防护设备群及手机定位服务系统，采购年度维保许可、特征库订阅、硬件质保、软件授权延续及驻场运维服务。项目为存量系统运维续费，重点解决硬件设备过保风险、核心安全特征库过期失效、终端杀毒授权不足以及手机定位服务接口的合法权益延续问题。</w:t>
      </w:r>
    </w:p>
    <w:p w14:paraId="1F9B7818">
      <w:pPr>
        <w:widowControl/>
        <w:spacing w:before="240" w:beforeLines="100"/>
        <w:rPr>
          <w:rFonts w:hint="eastAsia" w:ascii="黑体" w:hAnsi="黑体" w:eastAsia="黑体" w:cstheme="minorBidi"/>
          <w:bCs/>
          <w:sz w:val="28"/>
          <w:szCs w:val="28"/>
        </w:rPr>
      </w:pPr>
      <w:r>
        <w:rPr>
          <w:rFonts w:ascii="黑体" w:hAnsi="黑体" w:eastAsia="黑体" w:cstheme="minorBidi"/>
          <w:bCs/>
          <w:sz w:val="28"/>
          <w:szCs w:val="28"/>
        </w:rPr>
        <w:t>二、 运维服务范围</w:t>
      </w:r>
    </w:p>
    <w:p w14:paraId="2A5AEE76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（一） 服务覆盖范围</w:t>
      </w:r>
    </w:p>
    <w:p w14:paraId="7D7AF21D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本次运维服务范围覆盖赤峰市120急救中心核心机房以及全市12个旗县急救分中心的网络接入节点。服务商须保障上述范围内相关核心安全设备及业务系统的正常运行。</w:t>
      </w:r>
    </w:p>
    <w:p w14:paraId="70A74D26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（二） 核心硬件及系统维保清单</w:t>
      </w:r>
    </w:p>
    <w:p w14:paraId="5D47AC81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服务商须针对以下现网核心资产提供原厂级维保及授权延续服务，设备名称、型号及数量须与现网资产完全一致：</w:t>
      </w:r>
    </w:p>
    <w:tbl>
      <w:tblPr>
        <w:tblStyle w:val="17"/>
        <w:tblW w:w="9360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872"/>
        <w:gridCol w:w="1872"/>
        <w:gridCol w:w="1872"/>
        <w:gridCol w:w="1872"/>
        <w:gridCol w:w="1872"/>
      </w:tblGrid>
      <w:tr w14:paraId="58D3A16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1B1BAE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序号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A5B7121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名称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10FD09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产品型号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6C1DCE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数量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644CF5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维保服务要求</w:t>
            </w:r>
          </w:p>
        </w:tc>
      </w:tr>
      <w:tr w14:paraId="2589A1C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9E5153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1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746AA18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防火墙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9C4E3F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AF-1000-B1080-MH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16A155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hint="eastAsia" w:ascii="仿宋" w:hAnsi="仿宋" w:eastAsia="仿宋" w:cs="Google Sans Text"/>
                <w:b/>
                <w:bCs/>
                <w:color w:val="1F1F1F"/>
                <w:lang w:val="en-US" w:eastAsia="zh-CN"/>
              </w:rPr>
              <w:t>10</w:t>
            </w:r>
            <w:bookmarkStart w:id="0" w:name="_GoBack"/>
            <w:bookmarkEnd w:id="0"/>
            <w:r>
              <w:rPr>
                <w:rFonts w:ascii="仿宋" w:hAnsi="仿宋" w:eastAsia="仿宋" w:cs="Google Sans Text"/>
                <w:b/>
                <w:bCs/>
                <w:color w:val="1F1F1F"/>
              </w:rPr>
              <w:t xml:space="preserve">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DC123D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含深信服云智订阅软件、硬件维保（标准版）</w:t>
            </w:r>
          </w:p>
        </w:tc>
      </w:tr>
      <w:tr w14:paraId="6427C9C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C10876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2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126EC56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防火墙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D454D0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AF-1000-B1510-MH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6A8B85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2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1B4E7A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含深信服云智订阅软件、硬件维保（标准版）</w:t>
            </w:r>
          </w:p>
        </w:tc>
      </w:tr>
      <w:tr w14:paraId="0CBC446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574EED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3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1FCCC7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全网行为管理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A3C907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AC-1000-B1300-MH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07F685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1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2D2D18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含URL&amp;应用识别规则库升级、硬件维保（标准版）</w:t>
            </w:r>
          </w:p>
        </w:tc>
      </w:tr>
      <w:tr w14:paraId="263B90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D9873D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4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CA0CBD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等保一体机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FB8843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SdSec-1000-D600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74B52A0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2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519B4D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含产品质保（标准版）、组件授权延续</w:t>
            </w:r>
          </w:p>
        </w:tc>
      </w:tr>
      <w:tr w14:paraId="7534E42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62DA84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5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09DE6B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日志审计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4A9C1E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SIP-Logger-V50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F81255E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1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8836E8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含软件升级服务</w:t>
            </w:r>
          </w:p>
        </w:tc>
      </w:tr>
      <w:tr w14:paraId="7A7C26F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9225AB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6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5FF7D65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终端杀毒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57A4DC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深信服统一端点安全管理系统V6.0（aES）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006AD1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1 套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B2A8D5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含软件升级（PC端+服务器端），授权点数须覆盖市中心及12个旗县分中心现有全部终端</w:t>
            </w:r>
          </w:p>
        </w:tc>
      </w:tr>
      <w:tr w14:paraId="6818241D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7F03AC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7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60AFAB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堡垒机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E41414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OSM-1000-V50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78732CB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1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7587717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含软件升级服务</w:t>
            </w:r>
          </w:p>
        </w:tc>
      </w:tr>
      <w:tr w14:paraId="247F58F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12E5690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8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9BB869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WAF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A2806A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AF-1000-FH1300B-JD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C9352BC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b/>
                <w:bCs/>
                <w:color w:val="1F1F1F"/>
              </w:rPr>
            </w:pPr>
            <w:r>
              <w:rPr>
                <w:rFonts w:ascii="仿宋" w:hAnsi="仿宋" w:eastAsia="仿宋" w:cs="Google Sans Text"/>
                <w:b/>
                <w:bCs/>
                <w:color w:val="1F1F1F"/>
              </w:rPr>
              <w:t>1 台</w:t>
            </w:r>
          </w:p>
        </w:tc>
        <w:tc>
          <w:tcPr>
            <w:tcW w:w="187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AD9E6F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75" w:lineRule="auto"/>
              <w:rPr>
                <w:rFonts w:hint="eastAsia" w:ascii="仿宋" w:hAnsi="仿宋" w:eastAsia="仿宋" w:cs="Google Sans Text"/>
                <w:color w:val="1F1F1F"/>
              </w:rPr>
            </w:pPr>
            <w:r>
              <w:rPr>
                <w:rFonts w:ascii="仿宋" w:hAnsi="仿宋" w:eastAsia="仿宋" w:cs="Google Sans Text"/>
                <w:color w:val="1F1F1F"/>
              </w:rPr>
              <w:t>含深信服云智订阅软件、硬件维保（标准版）</w:t>
            </w:r>
          </w:p>
        </w:tc>
      </w:tr>
    </w:tbl>
    <w:p w14:paraId="4483F802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注：以上设备为支撑全市120急救网络的关键基础设施，服务商必须提供原厂售后服务承诺函，确保上述设备在服务期内获得合法的原厂技术支持、硬件保修及特征库更新服务。</w:t>
      </w:r>
    </w:p>
    <w:p w14:paraId="15CE3221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（三） 手机定位服务系统</w:t>
      </w:r>
    </w:p>
    <w:p w14:paraId="2265E7D1">
      <w:pPr>
        <w:widowControl/>
        <w:numPr>
          <w:ilvl w:val="0"/>
          <w:numId w:val="1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定位接口服务：保障120调度系统与运营商定位网关的数据交互接口稳定运行。</w:t>
      </w:r>
    </w:p>
    <w:p w14:paraId="3A7B0FDF">
      <w:pPr>
        <w:widowControl/>
        <w:numPr>
          <w:ilvl w:val="0"/>
          <w:numId w:val="1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定位业务授权：包含中国移动、中国联通、中国电信三大运营商的手机呼叫定位能力授权，覆盖全市范围。</w:t>
      </w:r>
    </w:p>
    <w:p w14:paraId="1E1CBAC6">
      <w:pPr>
        <w:widowControl/>
        <w:spacing w:before="240" w:beforeLines="100"/>
        <w:rPr>
          <w:rFonts w:hint="eastAsia" w:ascii="黑体" w:hAnsi="黑体" w:eastAsia="黑体" w:cstheme="minorBidi"/>
          <w:bCs/>
          <w:sz w:val="28"/>
          <w:szCs w:val="28"/>
        </w:rPr>
      </w:pPr>
      <w:r>
        <w:rPr>
          <w:rFonts w:ascii="黑体" w:hAnsi="黑体" w:eastAsia="黑体" w:cstheme="minorBidi"/>
          <w:bCs/>
          <w:sz w:val="28"/>
          <w:szCs w:val="28"/>
        </w:rPr>
        <w:t>三、 运维服务内容</w:t>
      </w:r>
    </w:p>
    <w:p w14:paraId="4F3612D3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服务商须严格按照原厂服务标准，提供以下详细技术服务：</w:t>
      </w:r>
    </w:p>
    <w:p w14:paraId="687CFAC6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（一） URL&amp;应用识别规则库升级服务</w:t>
      </w:r>
    </w:p>
    <w:p w14:paraId="1DAD5AC5">
      <w:pPr>
        <w:widowControl/>
        <w:numPr>
          <w:ilvl w:val="0"/>
          <w:numId w:val="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URL分类库升级：提供URL分类库更新服务，能够对恶意网站、风险行为进行精准识别，并可根据用户需求设定合理规则，进行用户上网行为管理，杜绝不安全因素的访问，降低网络使用风险。</w:t>
      </w:r>
    </w:p>
    <w:p w14:paraId="1E7FED11">
      <w:pPr>
        <w:widowControl/>
        <w:numPr>
          <w:ilvl w:val="0"/>
          <w:numId w:val="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应用识别规则库升级：提供应用识别规则库更新服务，能够对众多细分应用（如P2P、游戏、流媒体）进行识别，并可根据用户需求设定合理规则，进行用户上网行为管理，杜绝不安全因素的访问，降低网络使用风险。</w:t>
      </w:r>
    </w:p>
    <w:p w14:paraId="2CB6732D">
      <w:pPr>
        <w:widowControl/>
        <w:numPr>
          <w:ilvl w:val="0"/>
          <w:numId w:val="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升级方式：服务商须提供规则库序列号或云端授权。用户可自行通过云端或手动方式升级规则库。</w:t>
      </w:r>
    </w:p>
    <w:p w14:paraId="6E6D628E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（二） 云智订阅软件服务（含安全特征库和URL库）</w:t>
      </w:r>
    </w:p>
    <w:p w14:paraId="756AE049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服务商须提供按年付费的云智订阅服务，确保防火墙具备监测并防御最新威胁的能力，具体包含：</w:t>
      </w:r>
    </w:p>
    <w:p w14:paraId="202B56B8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1.</w:t>
      </w:r>
      <w:r>
        <w:rPr>
          <w:rFonts w:ascii="仿宋" w:hAnsi="仿宋" w:eastAsia="仿宋" w:cstheme="minorBidi"/>
          <w:sz w:val="24"/>
          <w:szCs w:val="24"/>
        </w:rPr>
        <w:t>WEB应用防护识别库：需开通增强级模块，针对多种WEB漏洞进行通用检出防护，对包括XSS、SQL注入、WebShell上传等多种常用WEB漏洞有检出能力，对用户自己开发的网站有防护能力，且可以防范未知风险。</w:t>
      </w:r>
    </w:p>
    <w:p w14:paraId="39AA909C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2.</w:t>
      </w:r>
      <w:r>
        <w:rPr>
          <w:rFonts w:ascii="仿宋" w:hAnsi="仿宋" w:eastAsia="仿宋" w:cstheme="minorBidi"/>
          <w:sz w:val="24"/>
          <w:szCs w:val="24"/>
        </w:rPr>
        <w:t>IPS特征库：提供IPS漏洞防护功能模块授权并具备更新有效期，保证产品能及时更新最新的漏洞特征库。针对各类组件（Web应用、Web框架、系统服务、系统内核等）的漏洞进行精准检出防护，并具有丰富的漏洞信息字段，能针对特定漏洞做精准告警。</w:t>
      </w:r>
    </w:p>
    <w:p w14:paraId="5F7A7A40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3.</w:t>
      </w:r>
      <w:r>
        <w:rPr>
          <w:rFonts w:ascii="仿宋" w:hAnsi="仿宋" w:eastAsia="仿宋" w:cstheme="minorBidi"/>
          <w:sz w:val="24"/>
          <w:szCs w:val="24"/>
        </w:rPr>
        <w:t>僵尸网络防护库：需开通增强级模块，具备僵尸网络识别与防护能力。</w:t>
      </w:r>
    </w:p>
    <w:p w14:paraId="78B0D152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4.</w:t>
      </w:r>
      <w:r>
        <w:rPr>
          <w:rFonts w:ascii="仿宋" w:hAnsi="仿宋" w:eastAsia="仿宋" w:cstheme="minorBidi"/>
          <w:sz w:val="24"/>
          <w:szCs w:val="24"/>
        </w:rPr>
        <w:t>实时漏洞分析识别库：需开通增强级模块，具备实时漏洞分析能力。</w:t>
      </w:r>
    </w:p>
    <w:p w14:paraId="325B4275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5.</w:t>
      </w:r>
      <w:r>
        <w:rPr>
          <w:rFonts w:ascii="仿宋" w:hAnsi="仿宋" w:eastAsia="仿宋" w:cstheme="minorBidi"/>
          <w:sz w:val="24"/>
          <w:szCs w:val="24"/>
        </w:rPr>
        <w:t>服务方式：提供规则库序列号或云端授权，支持云端自动更新或手动更新。</w:t>
      </w:r>
    </w:p>
    <w:p w14:paraId="72114C28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（三） 关键时刻保障服务</w:t>
      </w:r>
    </w:p>
    <w:p w14:paraId="1CA38994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在客户关键时刻期间（如重大节假日、重要会议等），提供事前、事中、事后多维度保障服务，最小化业务中断风险：</w:t>
      </w:r>
    </w:p>
    <w:p w14:paraId="48E1ADBC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事前梳理：对用户资产进行梳理，提供设备风险与健康检查、性能分析、业务风险健康检查。</w:t>
      </w:r>
    </w:p>
    <w:p w14:paraId="14D2DD44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事中值守：关键时刻保障期，提供告警监控与应急处置。</w:t>
      </w:r>
    </w:p>
    <w:p w14:paraId="787F369E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事后总结：保障完成后，提供总结汇报与优化建议。</w:t>
      </w:r>
    </w:p>
    <w:p w14:paraId="435F3F16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（四） 现场与巡检服务</w:t>
      </w:r>
    </w:p>
    <w:p w14:paraId="38041A37">
      <w:pPr>
        <w:widowControl/>
        <w:numPr>
          <w:ilvl w:val="0"/>
          <w:numId w:val="3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现场服务：由原厂认证服务工程师提供现场支持服务，满足用户各类现场支持需要，包括：现场故障处理、现场技术支持、操作指导培训和预防性维护。</w:t>
      </w:r>
    </w:p>
    <w:p w14:paraId="106E870D">
      <w:pPr>
        <w:widowControl/>
        <w:numPr>
          <w:ilvl w:val="0"/>
          <w:numId w:val="3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巡检服务：提供相关设备的定期运行状况检查服务，主要包括：</w:t>
      </w:r>
    </w:p>
    <w:p w14:paraId="7B3FB3BE">
      <w:pPr>
        <w:widowControl/>
        <w:numPr>
          <w:ilvl w:val="0"/>
          <w:numId w:val="3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结合用户实际场景，设计符合业务现状的巡检方案。</w:t>
      </w:r>
    </w:p>
    <w:p w14:paraId="55DF7ECD">
      <w:pPr>
        <w:widowControl/>
        <w:numPr>
          <w:ilvl w:val="0"/>
          <w:numId w:val="3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对用户设备环境、基础产品信息、安全性、稳定性、硬件健康状态、平台及软件健康状态进行监测，并出具《巡检报告》。</w:t>
      </w:r>
    </w:p>
    <w:p w14:paraId="7A106532">
      <w:pPr>
        <w:widowControl/>
        <w:numPr>
          <w:ilvl w:val="0"/>
          <w:numId w:val="3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针对《巡检报告》中的异常问题信息，提供处置建议。</w:t>
      </w:r>
    </w:p>
    <w:p w14:paraId="6207307D">
      <w:pPr>
        <w:widowControl/>
        <w:numPr>
          <w:ilvl w:val="0"/>
          <w:numId w:val="3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解决巡检过程中发现的问题，并提出优化建议，提供《整改检测报告》。</w:t>
      </w:r>
    </w:p>
    <w:p w14:paraId="48DC1908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（五） 介质保留服务</w:t>
      </w:r>
    </w:p>
    <w:p w14:paraId="3EB917C8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为防止敏感数据泄露，服务商须提供介质保留服务：</w:t>
      </w:r>
    </w:p>
    <w:p w14:paraId="5DD21F42">
      <w:pPr>
        <w:widowControl/>
        <w:numPr>
          <w:ilvl w:val="0"/>
          <w:numId w:val="4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故障盘保留：当用户存储介质（硬盘）在质保期内因非人为原因导致故障需更换时，服务商提供存储介质更换，原故障存储介质由采购人自行保留。</w:t>
      </w:r>
    </w:p>
    <w:p w14:paraId="61060B61">
      <w:pPr>
        <w:widowControl/>
        <w:numPr>
          <w:ilvl w:val="0"/>
          <w:numId w:val="4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新盘质保：为用户新更换的存储介质，享 3个月 质保服务；若与介质关联的主产品剩余质保时长大于3个月，则以产品剩余质保时间为准。</w:t>
      </w:r>
    </w:p>
    <w:p w14:paraId="3FEF715D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（六） 专属备机服务</w:t>
      </w:r>
    </w:p>
    <w:p w14:paraId="5FDCD08E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当客户出现设备故障、重要变更、应急演练、重大保障等场景下，服务商须提供备机资源：</w:t>
      </w:r>
    </w:p>
    <w:p w14:paraId="3539B446">
      <w:pPr>
        <w:widowControl/>
        <w:numPr>
          <w:ilvl w:val="0"/>
          <w:numId w:val="5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备机种类：提供与客户设备型号一致（含定制型号），或高于客户设备型号的备机资源。</w:t>
      </w:r>
    </w:p>
    <w:p w14:paraId="01C5AF5C">
      <w:pPr>
        <w:widowControl/>
        <w:numPr>
          <w:ilvl w:val="0"/>
          <w:numId w:val="5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备机到场时效：4 小时内运抵现场。</w:t>
      </w:r>
    </w:p>
    <w:p w14:paraId="17E50C4E">
      <w:pPr>
        <w:widowControl/>
        <w:numPr>
          <w:ilvl w:val="0"/>
          <w:numId w:val="5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备机使用期限：单次使用期限为 1个月，到期后可申请延期（备机默认授权有效期为1个月）。</w:t>
      </w:r>
    </w:p>
    <w:p w14:paraId="4915C270">
      <w:pPr>
        <w:widowControl/>
        <w:numPr>
          <w:ilvl w:val="0"/>
          <w:numId w:val="5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服务有效期：质保期内随服务下单时长。</w:t>
      </w:r>
    </w:p>
    <w:p w14:paraId="62D112B6">
      <w:pPr>
        <w:widowControl/>
        <w:numPr>
          <w:ilvl w:val="0"/>
          <w:numId w:val="5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资产替换：可根据客户要求，备机资源替用客户设备后，可与客户原设备做资产替换，不用二次变更上架。</w:t>
      </w:r>
    </w:p>
    <w:p w14:paraId="09C7A9A9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（七） 硬件维保服务</w:t>
      </w:r>
    </w:p>
    <w:p w14:paraId="4BC46E31">
      <w:pPr>
        <w:widowControl/>
        <w:numPr>
          <w:ilvl w:val="0"/>
          <w:numId w:val="6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返厂维修：提供硬件设备故障返厂维修服务，维修将在 30个自然日 内完成并寄回设备。</w:t>
      </w:r>
    </w:p>
    <w:p w14:paraId="49C437AD">
      <w:pPr>
        <w:widowControl/>
        <w:numPr>
          <w:ilvl w:val="0"/>
          <w:numId w:val="6"/>
        </w:numPr>
        <w:spacing w:line="440" w:lineRule="exact"/>
        <w:ind w:left="0" w:firstLine="480" w:firstLineChars="20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软件升级：提供购买设备的软件升级授权，支持软件定期更新。</w:t>
      </w:r>
    </w:p>
    <w:p w14:paraId="4F534D20">
      <w:pPr>
        <w:pStyle w:val="11"/>
      </w:pPr>
      <w:r>
        <w:rPr>
          <w:rStyle w:val="15"/>
        </w:rPr>
        <w:t>四、 专项安全运维服务内容</w:t>
      </w:r>
      <w:r>
        <w:t xml:space="preserve"> </w:t>
      </w:r>
    </w:p>
    <w:p w14:paraId="1D72F19D">
      <w:pPr>
        <w:widowControl/>
        <w:spacing w:line="440" w:lineRule="exact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本章节明确了除软硬件维保外的</w:t>
      </w:r>
      <w:r>
        <w:rPr>
          <w:rFonts w:ascii="仿宋" w:hAnsi="仿宋" w:eastAsia="仿宋" w:cstheme="minorBidi"/>
          <w:b/>
          <w:bCs/>
          <w:sz w:val="24"/>
          <w:szCs w:val="24"/>
        </w:rPr>
        <w:t>人工安全服务</w:t>
      </w:r>
      <w:r>
        <w:rPr>
          <w:rFonts w:ascii="仿宋" w:hAnsi="仿宋" w:eastAsia="仿宋" w:cstheme="minorBidi"/>
          <w:sz w:val="24"/>
          <w:szCs w:val="24"/>
        </w:rPr>
        <w:t>内容，服务商须提供以下专业化服务：</w:t>
      </w:r>
    </w:p>
    <w:p w14:paraId="42256ECF">
      <w:pPr>
        <w:pStyle w:val="19"/>
        <w:widowControl/>
        <w:numPr>
          <w:ilvl w:val="0"/>
          <w:numId w:val="7"/>
        </w:numPr>
        <w:spacing w:before="120" w:beforeLines="50" w:after="120" w:afterLines="50" w:line="440" w:lineRule="exact"/>
        <w:ind w:firstLineChars="0"/>
        <w:rPr>
          <w:rFonts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 xml:space="preserve"> 资产梳理服务 </w:t>
      </w:r>
    </w:p>
    <w:p w14:paraId="1F3EE2FD">
      <w:pPr>
        <w:widowControl/>
        <w:spacing w:line="440" w:lineRule="exact"/>
        <w:ind w:left="120" w:firstLine="480" w:firstLineChars="20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服务内容：对采购人全网信息化资产进行梳理和排查，编制《信息资产表》。明确需要保护的信息资产、保护优先级和相应的管理人员、责任人 。</w:t>
      </w:r>
    </w:p>
    <w:p w14:paraId="17E2CAA4">
      <w:pPr>
        <w:widowControl/>
        <w:spacing w:line="440" w:lineRule="exact"/>
        <w:ind w:firstLine="480" w:firstLineChars="20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 服务频率：每月1次信息资产表的核对工作，有调整和变动时立即更新 。</w:t>
      </w:r>
    </w:p>
    <w:p w14:paraId="5DABE2DC">
      <w:pPr>
        <w:widowControl/>
        <w:spacing w:line="440" w:lineRule="exact"/>
        <w:ind w:firstLine="480" w:firstLineChars="20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交付成果：《信息资产表》、《信息资产表更新维护记录表》 。</w:t>
      </w:r>
    </w:p>
    <w:p w14:paraId="6910D054">
      <w:pPr>
        <w:widowControl/>
        <w:spacing w:before="120" w:beforeLines="50" w:after="120" w:afterLines="50" w:line="440" w:lineRule="exact"/>
        <w:rPr>
          <w:rFonts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（二） 安全扫描与评估服务</w:t>
      </w:r>
    </w:p>
    <w:p w14:paraId="33E1CDF7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漏洞扫描：使用专业漏洞扫描系统，对本地局域网及指定云主机进行安全扫描，及时发现系统漏洞及配置隐患。 </w:t>
      </w:r>
    </w:p>
    <w:p w14:paraId="4332F8EE">
      <w:pPr>
        <w:widowControl/>
        <w:spacing w:line="440" w:lineRule="exact"/>
        <w:ind w:left="48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服务频率：每季度1次</w:t>
      </w:r>
    </w:p>
    <w:p w14:paraId="56D47A04">
      <w:pPr>
        <w:widowControl/>
        <w:spacing w:line="440" w:lineRule="exact"/>
        <w:ind w:left="48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交付成果：《安全扫描报告》 </w:t>
      </w:r>
    </w:p>
    <w:p w14:paraId="34D2DE63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安全评估（渗透测试）：采用模拟黑客攻击的方式（黑盒/白盒测试），对业务系统进行非破坏性的渗透测试，检测SQL注入、文件上传、跨站脚本等深层次漏洞。 </w:t>
      </w:r>
    </w:p>
    <w:p w14:paraId="593D566C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服务频率：每季度1次</w:t>
      </w:r>
    </w:p>
    <w:p w14:paraId="262AEF0F">
      <w:pPr>
        <w:widowControl/>
        <w:spacing w:line="440" w:lineRule="exact"/>
        <w:ind w:left="48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交付成果：《安全评估报告》及《修复建议书》 </w:t>
      </w:r>
    </w:p>
    <w:p w14:paraId="6039DC34">
      <w:pPr>
        <w:widowControl/>
        <w:spacing w:before="120" w:beforeLines="50" w:after="120" w:afterLines="50" w:line="440" w:lineRule="exact"/>
        <w:rPr>
          <w:rFonts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（三） 安全通告服务</w:t>
      </w:r>
    </w:p>
    <w:p w14:paraId="6C1099A3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服务内容：提供定期的安全信息通告服务，内容包括业界动态、国家最新安全政策、最新病毒信息及漏洞预警。</w:t>
      </w:r>
    </w:p>
    <w:p w14:paraId="51B8B139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 服务方式：一般信息邮件通告，敏感信息或重大漏洞以电话或走访方式告知 。 </w:t>
      </w:r>
    </w:p>
    <w:p w14:paraId="4359FD3A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服务频率：每月1次；重大安全事件实时预警。</w:t>
      </w:r>
    </w:p>
    <w:p w14:paraId="5821E3D2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交付成果：《安全事件通告文档》。</w:t>
      </w:r>
    </w:p>
    <w:p w14:paraId="385CE9EA">
      <w:pPr>
        <w:widowControl/>
        <w:spacing w:before="120" w:beforeLines="50" w:after="120" w:afterLines="50" w:line="440" w:lineRule="exact"/>
        <w:rPr>
          <w:rFonts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 xml:space="preserve">（四） 应急响应服务 </w:t>
      </w:r>
    </w:p>
    <w:p w14:paraId="453B6CAE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 xml:space="preserve">服务内容：在发生安全事件（如勒索病毒、网页篡改）时，提供7×24小时应急响应。服务涵盖：事件类型判定、抑制事态发展、清除威胁、系统恢复及事后加固 。 </w:t>
      </w:r>
    </w:p>
    <w:p w14:paraId="0EF55BB0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响应时效：安全事件发生时 15分钟内 做出响应，无法远程解决的问题，1小时内 抵达现场。</w:t>
      </w:r>
    </w:p>
    <w:p w14:paraId="1069665A">
      <w:pPr>
        <w:widowControl/>
        <w:spacing w:line="440" w:lineRule="exact"/>
        <w:ind w:left="480"/>
        <w:rPr>
          <w:rFonts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服务频率：服务期内按需提供，不限次数。</w:t>
      </w:r>
    </w:p>
    <w:p w14:paraId="0FA7908E">
      <w:pPr>
        <w:widowControl/>
        <w:spacing w:line="440" w:lineRule="exact"/>
        <w:ind w:left="48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交付成果：《应急事件处置报告》</w:t>
      </w:r>
    </w:p>
    <w:p w14:paraId="0798B494">
      <w:pPr>
        <w:widowControl/>
        <w:spacing w:before="240" w:beforeLines="100"/>
        <w:rPr>
          <w:rFonts w:hint="eastAsia" w:ascii="黑体" w:hAnsi="黑体" w:eastAsia="黑体" w:cstheme="minorBidi"/>
          <w:bCs/>
          <w:sz w:val="28"/>
          <w:szCs w:val="28"/>
        </w:rPr>
      </w:pPr>
      <w:r>
        <w:rPr>
          <w:rFonts w:hint="eastAsia" w:ascii="黑体" w:hAnsi="黑体" w:eastAsia="黑体" w:cstheme="minorBidi"/>
          <w:bCs/>
          <w:sz w:val="28"/>
          <w:szCs w:val="28"/>
        </w:rPr>
        <w:t>五</w:t>
      </w:r>
      <w:r>
        <w:rPr>
          <w:rFonts w:ascii="黑体" w:hAnsi="黑体" w:eastAsia="黑体" w:cstheme="minorBidi"/>
          <w:bCs/>
          <w:sz w:val="28"/>
          <w:szCs w:val="28"/>
        </w:rPr>
        <w:t>、 综合运维响应与管理要求</w:t>
      </w:r>
    </w:p>
    <w:p w14:paraId="23F12D33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（一） 运维服务承诺</w:t>
      </w:r>
    </w:p>
    <w:p w14:paraId="765FB08D">
      <w:pPr>
        <w:widowControl/>
        <w:numPr>
          <w:ilvl w:val="0"/>
          <w:numId w:val="8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运维服务</w:t>
      </w:r>
      <w:r>
        <w:rPr>
          <w:rFonts w:ascii="仿宋" w:hAnsi="仿宋" w:eastAsia="仿宋" w:cstheme="minorBidi"/>
          <w:sz w:val="24"/>
          <w:szCs w:val="24"/>
        </w:rPr>
        <w:t>期要求：</w:t>
      </w:r>
      <w:r>
        <w:rPr>
          <w:rFonts w:hint="eastAsia" w:ascii="仿宋" w:hAnsi="仿宋" w:eastAsia="仿宋" w:cstheme="minorBidi"/>
          <w:sz w:val="24"/>
          <w:szCs w:val="24"/>
        </w:rPr>
        <w:t>服务期限为签订合同后12个月</w:t>
      </w:r>
      <w:r>
        <w:rPr>
          <w:rFonts w:ascii="仿宋" w:hAnsi="仿宋" w:eastAsia="仿宋" w:cstheme="minorBidi"/>
          <w:sz w:val="24"/>
          <w:szCs w:val="24"/>
        </w:rPr>
        <w:t>。</w:t>
      </w:r>
    </w:p>
    <w:p w14:paraId="500505CF">
      <w:pPr>
        <w:widowControl/>
        <w:numPr>
          <w:ilvl w:val="0"/>
          <w:numId w:val="8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原装正品承诺：保证所提供的软件及授权为原装正品，完全符合国家技术、质量规范和合同规定的要求。</w:t>
      </w:r>
    </w:p>
    <w:p w14:paraId="6BBCC850">
      <w:pPr>
        <w:widowControl/>
        <w:numPr>
          <w:ilvl w:val="0"/>
          <w:numId w:val="8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技术后援支持：保障系统的安全运行除了必要的管理制度和技术保障手段外，还需要各子系统供应商提供强大的技术后援支持。服务商须承诺结合自身优势，为用户提供高标准、高质量的售后服务。</w:t>
      </w:r>
    </w:p>
    <w:p w14:paraId="445D9767">
      <w:pPr>
        <w:widowControl/>
        <w:numPr>
          <w:ilvl w:val="0"/>
          <w:numId w:val="8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升级改进义务：对厂家提供的货物的硬件或软件的升级改进服务，有及时告知用户的义务，在用户同意接受这些服务的情况下提供便利条件。</w:t>
      </w:r>
    </w:p>
    <w:p w14:paraId="55862B73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（二） 响应时效与故障处理</w:t>
      </w:r>
    </w:p>
    <w:p w14:paraId="173DBD3C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服务商须提供 7×24小时 全天候服务响应：</w:t>
      </w:r>
    </w:p>
    <w:p w14:paraId="36917433">
      <w:pPr>
        <w:widowControl/>
        <w:numPr>
          <w:ilvl w:val="0"/>
          <w:numId w:val="9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响应时间：维护工程师在接到用户故障报告后 1小时内 反应。</w:t>
      </w:r>
    </w:p>
    <w:p w14:paraId="0523945C">
      <w:pPr>
        <w:widowControl/>
        <w:numPr>
          <w:ilvl w:val="0"/>
          <w:numId w:val="9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解决时间：一般问题在 8小时内 解决。</w:t>
      </w:r>
    </w:p>
    <w:p w14:paraId="40FF3A01">
      <w:pPr>
        <w:widowControl/>
        <w:numPr>
          <w:ilvl w:val="0"/>
          <w:numId w:val="9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重大故障：如遇到重大问题，24小时内 到达现场处理应用系统出现的故障，48小时内 解决问题。</w:t>
      </w:r>
    </w:p>
    <w:p w14:paraId="1A611521">
      <w:pPr>
        <w:widowControl/>
        <w:numPr>
          <w:ilvl w:val="0"/>
          <w:numId w:val="9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兜底措施：若不能在规定时间内解决故障，必须提供备用设备。</w:t>
      </w:r>
    </w:p>
    <w:p w14:paraId="19744185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（三） 技术支持方法与服务方式</w:t>
      </w:r>
    </w:p>
    <w:p w14:paraId="1C025D71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服务商须根据不同设备的部署位置，提供混合式服务方式：</w:t>
      </w:r>
    </w:p>
    <w:p w14:paraId="21C76E87">
      <w:pPr>
        <w:widowControl/>
        <w:numPr>
          <w:ilvl w:val="0"/>
          <w:numId w:val="10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电话支持：提供7×24小时技术咨询服务热线。如果系统在维护期内出现非严重故障，立即以电话热线方式进行支持。</w:t>
      </w:r>
    </w:p>
    <w:p w14:paraId="7AE7E68A">
      <w:pPr>
        <w:widowControl/>
        <w:numPr>
          <w:ilvl w:val="0"/>
          <w:numId w:val="10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例行巡检（高频次）：服务商须安排专职技术维护工程师每周对中心系统进行全面检查，每次巡检完毕后需填写《巡检报告》由双方工程师签字且备案，发现问题及时解决。</w:t>
      </w:r>
    </w:p>
    <w:p w14:paraId="2D84307F">
      <w:pPr>
        <w:widowControl/>
        <w:numPr>
          <w:ilvl w:val="0"/>
          <w:numId w:val="10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现场服务（驻场支持）：服务商须安排工程师提供驻场服务。对于驻场工程师不能立即解决的问题，须调派相关技术工程师前往处理。</w:t>
      </w:r>
    </w:p>
    <w:p w14:paraId="4345556C">
      <w:pPr>
        <w:widowControl/>
        <w:numPr>
          <w:ilvl w:val="0"/>
          <w:numId w:val="10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远程监测：在甲方开放网络监控通道的前提下，通过远程维护终端进行监测，发现问题立即解决。</w:t>
      </w:r>
    </w:p>
    <w:p w14:paraId="30F48322">
      <w:pPr>
        <w:widowControl/>
        <w:numPr>
          <w:ilvl w:val="0"/>
          <w:numId w:val="10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报修维护服务范围：由于整体软硬件分散在全市区域（含远郊区县），且救护车具有移动性，针对固定安装在市中心、分中心、分支机构的设备以及救护车车载设备，采取“电话支持、例行巡检、现场服务、远程监测、报修维护”相结合的方式。</w:t>
      </w:r>
    </w:p>
    <w:p w14:paraId="2F578ED0">
      <w:pPr>
        <w:widowControl/>
        <w:spacing w:line="440" w:lineRule="exact"/>
        <w:ind w:left="48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6</w:t>
      </w:r>
      <w:r>
        <w:rPr>
          <w:rFonts w:ascii="仿宋" w:hAnsi="仿宋" w:eastAsia="仿宋" w:cstheme="minorBidi"/>
          <w:sz w:val="24"/>
          <w:szCs w:val="24"/>
        </w:rPr>
        <w:t>报修流程：先进行电话支持；电话不能解决时，进行现场服务及零备件更换；现场不能解决时，向原厂报修。</w:t>
      </w:r>
    </w:p>
    <w:p w14:paraId="4D0E84C6">
      <w:pPr>
        <w:widowControl/>
        <w:spacing w:line="440" w:lineRule="exact"/>
        <w:ind w:left="480"/>
        <w:rPr>
          <w:rFonts w:hint="eastAsia" w:ascii="仿宋" w:hAnsi="仿宋" w:eastAsia="仿宋" w:cstheme="minorBidi"/>
          <w:sz w:val="24"/>
          <w:szCs w:val="24"/>
        </w:rPr>
      </w:pPr>
      <w:r>
        <w:rPr>
          <w:rFonts w:hint="eastAsia" w:ascii="仿宋" w:hAnsi="仿宋" w:eastAsia="仿宋" w:cstheme="minorBidi"/>
          <w:sz w:val="24"/>
          <w:szCs w:val="24"/>
        </w:rPr>
        <w:t>7.</w:t>
      </w:r>
      <w:r>
        <w:rPr>
          <w:rFonts w:ascii="仿宋" w:hAnsi="仿宋" w:eastAsia="仿宋" w:cstheme="minorBidi"/>
          <w:sz w:val="24"/>
          <w:szCs w:val="24"/>
        </w:rPr>
        <w:t>系统升级服务：当系统或设备有了新的升级补丁后，在不影响系统运行的前提下，服务商需对系统或设备进行升级服务以及文档的更新。</w:t>
      </w:r>
    </w:p>
    <w:p w14:paraId="41087725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（四） 运维交付物管理</w:t>
      </w:r>
    </w:p>
    <w:p w14:paraId="7CCFB0C3">
      <w:pPr>
        <w:widowControl/>
        <w:spacing w:line="440" w:lineRule="exact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服务商须对每次服务情况进行记录，并出具服务情况总结报告。报告内容包括系统故障情况、解决过程及办法以及预防性措施及建议等。</w:t>
      </w:r>
    </w:p>
    <w:p w14:paraId="46BD1F6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120" w:line="275" w:lineRule="auto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必须提交的报告清单：</w:t>
      </w:r>
    </w:p>
    <w:p w14:paraId="60698D80">
      <w:pPr>
        <w:widowControl/>
        <w:numPr>
          <w:ilvl w:val="0"/>
          <w:numId w:val="11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《周报》：每周巡检记录。</w:t>
      </w:r>
    </w:p>
    <w:p w14:paraId="4C66495B">
      <w:pPr>
        <w:widowControl/>
        <w:numPr>
          <w:ilvl w:val="0"/>
          <w:numId w:val="11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《月报》：月度运行总结。</w:t>
      </w:r>
    </w:p>
    <w:p w14:paraId="0B190A71">
      <w:pPr>
        <w:widowControl/>
        <w:numPr>
          <w:ilvl w:val="0"/>
          <w:numId w:val="11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《季度总结报告》：季度安全态势分析。</w:t>
      </w:r>
    </w:p>
    <w:p w14:paraId="5AB2577B">
      <w:pPr>
        <w:widowControl/>
        <w:numPr>
          <w:ilvl w:val="0"/>
          <w:numId w:val="11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《年终总结报告》：年度服务总结。</w:t>
      </w:r>
    </w:p>
    <w:p w14:paraId="06D30000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（五） 手机定位系统专项运维指标</w:t>
      </w:r>
    </w:p>
    <w:p w14:paraId="67B3AC35">
      <w:pPr>
        <w:widowControl/>
        <w:numPr>
          <w:ilvl w:val="0"/>
          <w:numId w:val="1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运营商覆盖：支持中国移动、中国联通、中国电信三大运营商手机用户呼叫定位，覆盖全市范围内手机终端，无运营商限制。</w:t>
      </w:r>
    </w:p>
    <w:p w14:paraId="72E24D89">
      <w:pPr>
        <w:widowControl/>
        <w:numPr>
          <w:ilvl w:val="0"/>
          <w:numId w:val="1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响应速度：接收到报警人呼叫后，系统须在 3秒内完成定位并返回位置信息。</w:t>
      </w:r>
    </w:p>
    <w:p w14:paraId="6EC56A44">
      <w:pPr>
        <w:widowControl/>
        <w:numPr>
          <w:ilvl w:val="0"/>
          <w:numId w:val="1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多端同步：支持定位信息在市级指挥调度系统平台、旗县急救分中心接警终端、急救专用车载终端等多端同步展示。</w:t>
      </w:r>
    </w:p>
    <w:p w14:paraId="268AA951">
      <w:pPr>
        <w:widowControl/>
        <w:numPr>
          <w:ilvl w:val="0"/>
          <w:numId w:val="1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数据统计与监控：支持对报警定位数据按时间、区域、运营商等维度统计分析并形成报表；具备自我监控能力，定位服务异常时可通过短信、电话等方式告警。</w:t>
      </w:r>
    </w:p>
    <w:p w14:paraId="308E5095">
      <w:pPr>
        <w:widowControl/>
        <w:numPr>
          <w:ilvl w:val="0"/>
          <w:numId w:val="12"/>
        </w:numPr>
        <w:spacing w:line="440" w:lineRule="exact"/>
        <w:ind w:left="0"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接口适配：与移动/联通/电信语音定位接入网关成功对接，保障与运营商定位服务器间稳定通信；与云平台服务接入，确保定位服务持续性与稳定性。</w:t>
      </w:r>
    </w:p>
    <w:p w14:paraId="5EB63AE5">
      <w:pPr>
        <w:widowControl/>
        <w:spacing w:before="120" w:beforeLines="50" w:after="120" w:afterLines="50" w:line="440" w:lineRule="exact"/>
        <w:rPr>
          <w:rFonts w:hint="eastAsia" w:ascii="楷体" w:hAnsi="楷体" w:eastAsia="楷体" w:cstheme="minorBidi"/>
          <w:b/>
          <w:bCs/>
          <w:sz w:val="24"/>
          <w:szCs w:val="24"/>
        </w:rPr>
      </w:pPr>
      <w:r>
        <w:rPr>
          <w:rFonts w:ascii="楷体" w:hAnsi="楷体" w:eastAsia="楷体" w:cstheme="minorBidi"/>
          <w:b/>
          <w:bCs/>
          <w:sz w:val="24"/>
          <w:szCs w:val="24"/>
        </w:rPr>
        <w:t>（六） 培训服务</w:t>
      </w:r>
    </w:p>
    <w:p w14:paraId="0FFE4A1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276" w:lineRule="auto"/>
        <w:ind w:firstLine="480" w:firstLineChars="200"/>
        <w:rPr>
          <w:rFonts w:hint="eastAsia" w:ascii="仿宋" w:hAnsi="仿宋" w:eastAsia="仿宋" w:cstheme="minorBidi"/>
          <w:sz w:val="24"/>
          <w:szCs w:val="24"/>
        </w:rPr>
      </w:pPr>
      <w:r>
        <w:rPr>
          <w:rFonts w:ascii="仿宋" w:hAnsi="仿宋" w:eastAsia="仿宋" w:cstheme="minorBidi"/>
          <w:sz w:val="24"/>
          <w:szCs w:val="24"/>
        </w:rPr>
        <w:t>服务商须为用户提供</w:t>
      </w:r>
      <w:r>
        <w:rPr>
          <w:rFonts w:hint="eastAsia" w:ascii="仿宋" w:hAnsi="仿宋" w:eastAsia="仿宋" w:cstheme="minorBidi"/>
          <w:sz w:val="24"/>
          <w:szCs w:val="24"/>
        </w:rPr>
        <w:t>系统</w:t>
      </w:r>
      <w:r>
        <w:rPr>
          <w:rFonts w:ascii="仿宋" w:hAnsi="仿宋" w:eastAsia="仿宋" w:cstheme="minorBidi"/>
          <w:sz w:val="24"/>
          <w:szCs w:val="24"/>
        </w:rPr>
        <w:t>使用、维护等方面的技术培训。针对本次项目，为保证120系统的稳定可靠运行，服务商须提供针对甲方运维人员的技术培训服务。</w:t>
      </w:r>
    </w:p>
    <w:p w14:paraId="296C571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275" w:lineRule="auto"/>
        <w:rPr>
          <w:rFonts w:ascii="Google Sans Text" w:hAnsi="Google Sans Text" w:eastAsia="Google Sans Text" w:cs="Google Sans Text"/>
          <w:color w:val="1F1F1F"/>
        </w:rPr>
      </w:pP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C31260B5-54BF-45DD-B442-51104CAB8125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AA6E9184-9D5B-4177-99AE-D5701B062A9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379A39BA-E7C2-4434-AB13-82100B80DAC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53D6C181-289A-49E3-B882-CCE84F01A77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841F4F18-9DED-4680-9B27-25CF359F43A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EDFB53AE-D14A-496B-92A0-4C35A0D97234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7" w:fontKey="{DAA0C1F8-1006-4929-9F98-241FD3EB3005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8" w:fontKey="{4054D1BB-0EBE-4F57-ABA0-EA0315E1F3C3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6FB49318-C9D5-4E48-BDA5-AE60A5CB1E42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034FB0E8-2320-4FB5-8EF5-4C608148B7A3}"/>
  </w:font>
  <w:font w:name="Google Sans Tex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1" w:fontKey="{8BB3F798-8C38-4929-A1E8-BD4F25155636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2" w:fontKey="{560B1FE0-8B26-4B31-9D27-28AE1E4115A7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3" w:fontKey="{061B827F-D405-4D53-B8E0-589113ED8AA9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B6A16D3"/>
    <w:multiLevelType w:val="multilevel"/>
    <w:tmpl w:val="0B6A16D3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">
    <w:nsid w:val="0F6E3256"/>
    <w:multiLevelType w:val="multilevel"/>
    <w:tmpl w:val="0F6E3256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">
    <w:nsid w:val="17350EE9"/>
    <w:multiLevelType w:val="multilevel"/>
    <w:tmpl w:val="17350EE9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3">
    <w:nsid w:val="1E2E723A"/>
    <w:multiLevelType w:val="multilevel"/>
    <w:tmpl w:val="1E2E723A"/>
    <w:lvl w:ilvl="0" w:tentative="0">
      <w:start w:val="1"/>
      <w:numFmt w:val="japaneseCounting"/>
      <w:lvlText w:val="（%1）"/>
      <w:lvlJc w:val="left"/>
      <w:pPr>
        <w:ind w:left="743" w:hanging="743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4">
    <w:nsid w:val="27244ABB"/>
    <w:multiLevelType w:val="multilevel"/>
    <w:tmpl w:val="27244ABB"/>
    <w:lvl w:ilvl="0" w:tentative="0">
      <w:start w:val="1"/>
      <w:numFmt w:val="decimal"/>
      <w:lvlText w:val="%1."/>
      <w:lvlJc w:val="left"/>
      <w:pPr>
        <w:ind w:left="3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2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49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6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3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5">
    <w:nsid w:val="314315CF"/>
    <w:multiLevelType w:val="multilevel"/>
    <w:tmpl w:val="314315CF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6">
    <w:nsid w:val="33767E88"/>
    <w:multiLevelType w:val="multilevel"/>
    <w:tmpl w:val="33767E88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7">
    <w:nsid w:val="3AD83CE7"/>
    <w:multiLevelType w:val="multilevel"/>
    <w:tmpl w:val="3AD83CE7"/>
    <w:lvl w:ilvl="0" w:tentative="0">
      <w:start w:val="1"/>
      <w:numFmt w:val="decimal"/>
      <w:lvlText w:val="%1."/>
      <w:lvlJc w:val="left"/>
      <w:pPr>
        <w:ind w:left="7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8">
    <w:nsid w:val="43F9625E"/>
    <w:multiLevelType w:val="multilevel"/>
    <w:tmpl w:val="43F9625E"/>
    <w:lvl w:ilvl="0" w:tentative="0">
      <w:start w:val="1"/>
      <w:numFmt w:val="decimal"/>
      <w:lvlText w:val="%1."/>
      <w:lvlJc w:val="left"/>
      <w:pPr>
        <w:ind w:left="502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9">
    <w:nsid w:val="665F1B9E"/>
    <w:multiLevelType w:val="multilevel"/>
    <w:tmpl w:val="665F1B9E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0">
    <w:nsid w:val="6C9C7B9A"/>
    <w:multiLevelType w:val="multilevel"/>
    <w:tmpl w:val="6C9C7B9A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1">
    <w:nsid w:val="7BBF22D3"/>
    <w:multiLevelType w:val="multilevel"/>
    <w:tmpl w:val="7BBF22D3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2"/>
  </w:num>
  <w:num w:numId="5">
    <w:abstractNumId w:val="0"/>
  </w:num>
  <w:num w:numId="6">
    <w:abstractNumId w:val="10"/>
  </w:num>
  <w:num w:numId="7">
    <w:abstractNumId w:val="3"/>
  </w:num>
  <w:num w:numId="8">
    <w:abstractNumId w:val="11"/>
  </w:num>
  <w:num w:numId="9">
    <w:abstractNumId w:val="4"/>
  </w:num>
  <w:num w:numId="10">
    <w:abstractNumId w:val="8"/>
  </w:num>
  <w:num w:numId="11">
    <w:abstractNumId w:val="5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7DAF"/>
    <w:rsid w:val="0018335A"/>
    <w:rsid w:val="00477C54"/>
    <w:rsid w:val="004A6E92"/>
    <w:rsid w:val="0056622E"/>
    <w:rsid w:val="009050F0"/>
    <w:rsid w:val="009B6B37"/>
    <w:rsid w:val="00C17A42"/>
    <w:rsid w:val="00C37502"/>
    <w:rsid w:val="00E036FA"/>
    <w:rsid w:val="00E57DAF"/>
    <w:rsid w:val="00EB745D"/>
    <w:rsid w:val="79017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Theme="minorEastAsia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cs="Arial" w:eastAsiaTheme="minorEastAsia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240"/>
      <w:outlineLvl w:val="0"/>
    </w:pPr>
    <w:rPr>
      <w:b/>
      <w:bCs/>
      <w:sz w:val="48"/>
      <w:szCs w:val="48"/>
    </w:rPr>
  </w:style>
  <w:style w:type="paragraph" w:styleId="3">
    <w:name w:val="heading 2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25" w:after="225"/>
      <w:outlineLvl w:val="1"/>
    </w:pPr>
    <w:rPr>
      <w:b/>
      <w:bCs/>
      <w:sz w:val="36"/>
      <w:szCs w:val="36"/>
    </w:rPr>
  </w:style>
  <w:style w:type="paragraph" w:styleId="4">
    <w:name w:val="heading 3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240"/>
      <w:outlineLvl w:val="2"/>
    </w:pPr>
    <w:rPr>
      <w:b/>
      <w:bCs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55" w:after="255"/>
      <w:outlineLvl w:val="3"/>
    </w:pPr>
    <w:rPr>
      <w:b/>
      <w:bCs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55" w:after="255"/>
      <w:outlineLvl w:val="4"/>
    </w:pPr>
    <w:rPr>
      <w:b/>
      <w:bCs/>
      <w:sz w:val="18"/>
      <w:szCs w:val="18"/>
    </w:rPr>
  </w:style>
  <w:style w:type="paragraph" w:styleId="7">
    <w:name w:val="heading 6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360" w:after="360"/>
      <w:outlineLvl w:val="5"/>
    </w:pPr>
    <w:rPr>
      <w:b/>
      <w:bCs/>
      <w:sz w:val="16"/>
      <w:szCs w:val="16"/>
    </w:rPr>
  </w:style>
  <w:style w:type="character" w:default="1" w:styleId="14">
    <w:name w:val="Default Paragraph Font"/>
    <w:semiHidden/>
    <w:unhideWhenUsed/>
    <w:uiPriority w:val="1"/>
  </w:style>
  <w:style w:type="table" w:default="1" w:styleId="1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footer"/>
    <w:basedOn w:val="1"/>
    <w:link w:val="38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9">
    <w:name w:val="header"/>
    <w:basedOn w:val="1"/>
    <w:link w:val="37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</w:pPr>
    <w:rPr>
      <w:rFonts w:ascii="宋体" w:hAnsi="宋体" w:eastAsia="宋体" w:cs="宋体"/>
      <w:sz w:val="24"/>
      <w:szCs w:val="24"/>
    </w:rPr>
  </w:style>
  <w:style w:type="paragraph" w:styleId="12">
    <w:name w:val="Title"/>
    <w:basedOn w:val="1"/>
    <w:next w:val="1"/>
    <w:qFormat/>
    <w:uiPriority w:val="10"/>
    <w:pPr>
      <w:keepNext/>
      <w:keepLines/>
      <w:spacing w:before="480" w:after="120"/>
    </w:pPr>
    <w:rPr>
      <w:b/>
      <w:bCs/>
      <w:sz w:val="72"/>
      <w:szCs w:val="72"/>
    </w:rPr>
  </w:style>
  <w:style w:type="character" w:styleId="15">
    <w:name w:val="Strong"/>
    <w:basedOn w:val="14"/>
    <w:qFormat/>
    <w:uiPriority w:val="22"/>
    <w:rPr>
      <w:b/>
      <w:bCs/>
    </w:rPr>
  </w:style>
  <w:style w:type="table" w:customStyle="1" w:styleId="16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7">
    <w:name w:val="_Style 12"/>
    <w:basedOn w:val="16"/>
    <w:qFormat/>
    <w:uiPriority w:val="0"/>
  </w:style>
  <w:style w:type="character" w:customStyle="1" w:styleId="18">
    <w:name w:val="标题 1 字符"/>
    <w:basedOn w:val="14"/>
    <w:link w:val="2"/>
    <w:uiPriority w:val="9"/>
    <w:rPr>
      <w:b/>
      <w:bCs/>
      <w:sz w:val="48"/>
      <w:szCs w:val="48"/>
    </w:rPr>
  </w:style>
  <w:style w:type="paragraph" w:styleId="19">
    <w:name w:val="List Paragraph"/>
    <w:basedOn w:val="1"/>
    <w:qFormat/>
    <w:uiPriority w:val="34"/>
    <w:pPr>
      <w:ind w:firstLine="420" w:firstLineChars="200"/>
    </w:pPr>
  </w:style>
  <w:style w:type="character" w:customStyle="1" w:styleId="20">
    <w:name w:val="citation-637"/>
    <w:basedOn w:val="14"/>
    <w:uiPriority w:val="0"/>
  </w:style>
  <w:style w:type="character" w:customStyle="1" w:styleId="21">
    <w:name w:val="citation-636"/>
    <w:basedOn w:val="14"/>
    <w:qFormat/>
    <w:uiPriority w:val="0"/>
  </w:style>
  <w:style w:type="character" w:customStyle="1" w:styleId="22">
    <w:name w:val="citation-635"/>
    <w:basedOn w:val="14"/>
    <w:qFormat/>
    <w:uiPriority w:val="0"/>
  </w:style>
  <w:style w:type="character" w:customStyle="1" w:styleId="23">
    <w:name w:val="citation-634"/>
    <w:basedOn w:val="14"/>
    <w:uiPriority w:val="0"/>
  </w:style>
  <w:style w:type="character" w:customStyle="1" w:styleId="24">
    <w:name w:val="citation-633"/>
    <w:basedOn w:val="14"/>
    <w:uiPriority w:val="0"/>
  </w:style>
  <w:style w:type="character" w:customStyle="1" w:styleId="25">
    <w:name w:val="citation-632"/>
    <w:basedOn w:val="14"/>
    <w:qFormat/>
    <w:uiPriority w:val="0"/>
  </w:style>
  <w:style w:type="character" w:customStyle="1" w:styleId="26">
    <w:name w:val="citation-631"/>
    <w:basedOn w:val="14"/>
    <w:qFormat/>
    <w:uiPriority w:val="0"/>
  </w:style>
  <w:style w:type="character" w:customStyle="1" w:styleId="27">
    <w:name w:val="citation-630"/>
    <w:basedOn w:val="14"/>
    <w:uiPriority w:val="0"/>
  </w:style>
  <w:style w:type="character" w:customStyle="1" w:styleId="28">
    <w:name w:val="citation-629"/>
    <w:basedOn w:val="14"/>
    <w:qFormat/>
    <w:uiPriority w:val="0"/>
  </w:style>
  <w:style w:type="character" w:customStyle="1" w:styleId="29">
    <w:name w:val="citation-628"/>
    <w:basedOn w:val="14"/>
    <w:qFormat/>
    <w:uiPriority w:val="0"/>
  </w:style>
  <w:style w:type="character" w:customStyle="1" w:styleId="30">
    <w:name w:val="citation-627"/>
    <w:basedOn w:val="14"/>
    <w:qFormat/>
    <w:uiPriority w:val="0"/>
  </w:style>
  <w:style w:type="character" w:customStyle="1" w:styleId="31">
    <w:name w:val="citation-626"/>
    <w:basedOn w:val="14"/>
    <w:qFormat/>
    <w:uiPriority w:val="0"/>
  </w:style>
  <w:style w:type="character" w:customStyle="1" w:styleId="32">
    <w:name w:val="citation-625"/>
    <w:basedOn w:val="14"/>
    <w:uiPriority w:val="0"/>
  </w:style>
  <w:style w:type="character" w:customStyle="1" w:styleId="33">
    <w:name w:val="citation-624"/>
    <w:basedOn w:val="14"/>
    <w:uiPriority w:val="0"/>
  </w:style>
  <w:style w:type="character" w:customStyle="1" w:styleId="34">
    <w:name w:val="citation-623"/>
    <w:basedOn w:val="14"/>
    <w:uiPriority w:val="0"/>
  </w:style>
  <w:style w:type="character" w:customStyle="1" w:styleId="35">
    <w:name w:val="citation-622"/>
    <w:basedOn w:val="14"/>
    <w:uiPriority w:val="0"/>
  </w:style>
  <w:style w:type="character" w:customStyle="1" w:styleId="36">
    <w:name w:val="citation-621"/>
    <w:basedOn w:val="14"/>
    <w:uiPriority w:val="0"/>
  </w:style>
  <w:style w:type="character" w:customStyle="1" w:styleId="37">
    <w:name w:val="页眉 字符"/>
    <w:basedOn w:val="14"/>
    <w:link w:val="9"/>
    <w:uiPriority w:val="99"/>
    <w:rPr>
      <w:sz w:val="18"/>
      <w:szCs w:val="18"/>
    </w:rPr>
  </w:style>
  <w:style w:type="character" w:customStyle="1" w:styleId="38">
    <w:name w:val="页脚 字符"/>
    <w:basedOn w:val="14"/>
    <w:link w:val="8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4268</Words>
  <Characters>4446</Characters>
  <Lines>33</Lines>
  <Paragraphs>9</Paragraphs>
  <TotalTime>42</TotalTime>
  <ScaleCrop>false</ScaleCrop>
  <LinksUpToDate>false</LinksUpToDate>
  <CharactersWithSpaces>4513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2026-01-31T02:33:00Z</dcterms:created>
  <dc:creator>Administrator</dc:creator>
  <cp:lastModifiedBy>大豆腐</cp:lastModifiedBy>
  <dcterms:modified xsi:type="dcterms:W3CDTF">2026-01-31T09:33:33Z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eyJoZGlkIjoiOTk1NzIwZmM4YzBkMmU5ZmEwMmQ5MTIxN2VkMzJmYzciLCJ1c2VySWQiOiI0MDUwODA4MzMifQ==</vt:lpwstr>
  </property>
  <property fmtid="{D5CDD505-2E9C-101B-9397-08002B2CF9AE}" pid="3" name="KSOProductBuildVer">
    <vt:lpwstr>2052-12.1.0.24657</vt:lpwstr>
  </property>
  <property fmtid="{D5CDD505-2E9C-101B-9397-08002B2CF9AE}" pid="4" name="ICV">
    <vt:lpwstr>995EE91159ED4D258F6608E3171FE89E_13</vt:lpwstr>
  </property>
</Properties>
</file>