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99" w:tblpY="513"/>
        <w:tblOverlap w:val="never"/>
        <w:tblW w:w="9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8"/>
      </w:tblGrid>
      <w:tr w14:paraId="34C6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锶-90敷贴器设备技术参数</w:t>
            </w:r>
            <w:bookmarkEnd w:id="0"/>
          </w:p>
        </w:tc>
      </w:tr>
      <w:tr w14:paraId="43473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73A2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1.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活度：20mCi</w:t>
            </w:r>
          </w:p>
          <w:p w14:paraId="1DFE2A24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2.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表面吸收剂量率：110-120Sv/hr(20mCi)</w:t>
            </w:r>
          </w:p>
          <w:p w14:paraId="5E78D4C7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3.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外部尺寸：约30mmX30mm×</w:t>
            </w: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10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mm</w:t>
            </w:r>
          </w:p>
          <w:p w14:paraId="675925B3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4.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密封源活度区尺寸：约28mm×28mm</w:t>
            </w:r>
          </w:p>
          <w:p w14:paraId="30D55179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5.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治疗手柄：双节，总长 约40cm</w:t>
            </w:r>
          </w:p>
          <w:p w14:paraId="6BF173E0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6.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有机玻璃盒</w:t>
            </w:r>
          </w:p>
          <w:p w14:paraId="35D49F96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7.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防护盘</w:t>
            </w:r>
          </w:p>
          <w:p w14:paraId="0531F299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8.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铅防护罐</w:t>
            </w:r>
          </w:p>
          <w:p w14:paraId="34F52B67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9.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铝合金箱</w:t>
            </w:r>
          </w:p>
          <w:p w14:paraId="52B7974A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10.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组织内射程1-2mm</w:t>
            </w:r>
          </w:p>
          <w:p w14:paraId="3B114D3F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11.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锶-90均匀度≥97</w:t>
            </w:r>
          </w:p>
          <w:p w14:paraId="2C4E6238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12.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锶-90含量≥99.5</w:t>
            </w:r>
          </w:p>
          <w:p w14:paraId="146B6D45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  <w:highlight w:val="none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  <w:highlight w:val="none"/>
              </w:rPr>
              <w:t>13.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  <w:highlight w:val="none"/>
              </w:rPr>
              <w:t>半衰期28.79年</w:t>
            </w:r>
          </w:p>
          <w:p w14:paraId="0C502D6B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14.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在设备使用寿命内，免费负责每年的衰变校正</w:t>
            </w:r>
          </w:p>
          <w:p w14:paraId="2DB584F8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15.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锶-90编码卡</w:t>
            </w:r>
          </w:p>
          <w:p w14:paraId="4E996FB8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</w:rPr>
              <w:t>16.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</w:rPr>
              <w:t>运输容器</w:t>
            </w:r>
          </w:p>
          <w:p w14:paraId="779E88BB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  <w:highlight w:val="none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  <w:highlight w:val="none"/>
              </w:rPr>
              <w:t>17.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  <w:highlight w:val="none"/>
              </w:rPr>
              <w:t>放射源生产日期为两个月内</w:t>
            </w:r>
          </w:p>
          <w:p w14:paraId="50BE63A6">
            <w:pPr>
              <w:snapToGrid w:val="0"/>
              <w:ind w:firstLine="480" w:firstLineChars="200"/>
              <w:jc w:val="left"/>
              <w:rPr>
                <w:rFonts w:hint="default" w:ascii="仿宋_GB2312" w:hAnsi="仿宋" w:eastAsia="仿宋_GB2312" w:cs="monospace"/>
                <w:snapToGrid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  <w:highlight w:val="none"/>
              </w:rPr>
              <w:t>18.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  <w:highlight w:val="none"/>
              </w:rPr>
              <w:t>提供相关手续（放射性转让审批表等）；向属地公安局申请办理《放射性物品运输证》等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  <w:highlight w:val="none"/>
                <w:lang w:val="en-US" w:eastAsia="zh-CN"/>
              </w:rPr>
              <w:t>一切事宜。</w:t>
            </w:r>
          </w:p>
          <w:p w14:paraId="6314CC3D">
            <w:pPr>
              <w:snapToGrid w:val="0"/>
              <w:ind w:firstLine="480" w:firstLineChars="200"/>
              <w:jc w:val="left"/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  <w:highlight w:val="none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  <w:highlight w:val="none"/>
              </w:rPr>
              <w:t>19.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  <w:highlight w:val="none"/>
              </w:rPr>
              <w:t>放射源储存保险箱1个</w:t>
            </w:r>
          </w:p>
          <w:p w14:paraId="13AEDBBD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  <w:highlight w:val="none"/>
              </w:rPr>
              <w:t>2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ascii="仿宋_GB2312" w:hAnsi="仿宋" w:eastAsia="仿宋_GB2312" w:cs="monospace"/>
                <w:snapToGrid w:val="0"/>
                <w:sz w:val="24"/>
                <w:szCs w:val="22"/>
                <w:highlight w:val="none"/>
              </w:rPr>
              <w:t>.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  <w:highlight w:val="none"/>
              </w:rPr>
              <w:t>承担新锶-90敷贴器进口手续办理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  <w:highlight w:val="none"/>
                <w:lang w:val="en-US" w:eastAsia="zh-CN"/>
              </w:rPr>
              <w:t>等一切</w:t>
            </w:r>
            <w:r>
              <w:rPr>
                <w:rFonts w:hint="eastAsia" w:ascii="仿宋_GB2312" w:hAnsi="仿宋" w:eastAsia="仿宋_GB2312" w:cs="monospace"/>
                <w:snapToGrid w:val="0"/>
                <w:sz w:val="24"/>
                <w:szCs w:val="22"/>
                <w:highlight w:val="none"/>
              </w:rPr>
              <w:t xml:space="preserve">费用 </w:t>
            </w:r>
          </w:p>
        </w:tc>
      </w:tr>
    </w:tbl>
    <w:p w14:paraId="4F8CE0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A25C1"/>
    <w:rsid w:val="4B4A25C1"/>
    <w:rsid w:val="5679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2025-03-27T07:24:00Z</dcterms:created>
  <dc:creator>孟凡有</dc:creator>
  <cp:lastModifiedBy>孟凡有</cp:lastModifiedBy>
  <dcterms:modified xsi:type="dcterms:W3CDTF">2025-03-27T07:24:26Z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8F26D8D3718145C3874C203D14B06074_13</vt:lpwstr>
  </property>
  <property fmtid="{D5CDD505-2E9C-101B-9397-08002B2CF9AE}" pid="4" name="KSOTemplateDocerSaveRecord">
    <vt:lpwstr>eyJoZGlkIjoiNzc1MzVjMWYzNWZlZmM2MjNlYjU1YTQ5ZDI4NWMzZTMiLCJ1c2VySWQiOiIyNTYzMzk4NTMifQ==</vt:lpwstr>
  </property>
</Properties>
</file>