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赤峰市医院承办赤峰市妇幼健康职工职业技能竞赛服务采购项目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赤峰市医院承办赤峰市妇幼健康职工职业技能竞赛服务采购</w:t>
      </w:r>
    </w:p>
    <w:tbl>
      <w:tblPr>
        <w:tblStyle w:val="11"/>
        <w:tblW w:w="91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320"/>
        <w:gridCol w:w="12"/>
        <w:gridCol w:w="1152"/>
        <w:gridCol w:w="1272"/>
        <w:gridCol w:w="1224"/>
        <w:gridCol w:w="1224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9199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一、视频部分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时长\数量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预算单价（元）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预算小计（元）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开场视频短片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拍摄、剪辑、包装、调色、混音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3分钟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规则介绍视频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规则介绍展示制作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4个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主屏幕背景视频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动态背景视频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13个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3900.00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活动拍摄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活动跟拍素材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2天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</w:t>
            </w:r>
          </w:p>
        </w:tc>
        <w:tc>
          <w:tcPr>
            <w:tcW w:w="498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19900.00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9199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二、抢答器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时长\数量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预算单价（元）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预算小计（元）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55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lang w:val="en-US" w:eastAsia="zh-CN"/>
              </w:rPr>
              <w:t>抢答器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抢答器操作员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2人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55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选手控制器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2550.00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555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彩排费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1天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1775.00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1775.00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ppt制作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答题PPT制作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100页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打印试卷操作员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带设备到现场操作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2人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合计</w:t>
            </w:r>
          </w:p>
        </w:tc>
        <w:tc>
          <w:tcPr>
            <w:tcW w:w="498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8325.00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9199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三、音响设备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时长\数量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预算单价（元）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预算小计（元）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彩排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音响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1天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10.24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音响</w:t>
            </w:r>
          </w:p>
        </w:tc>
        <w:tc>
          <w:tcPr>
            <w:tcW w:w="11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1天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55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</w:t>
            </w:r>
          </w:p>
        </w:tc>
        <w:tc>
          <w:tcPr>
            <w:tcW w:w="498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199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四、物料物品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预算单价（元）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预算小计（元）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投标单价（元）</w:t>
            </w: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荣誉证书（含内页）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200个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奖牌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5520.00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牌匾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选手贴8X8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272张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816.00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60X90宣传海报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80X180宣传海报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工作证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122套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1220.00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代表证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163套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1630.00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抽奖箱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95个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475.00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手卡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450.00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椅背贴10X20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136张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408.00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6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存包区贴5X5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2.50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42.50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代表队贴10X20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会场标志贴15X30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42.00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考场标志贴15X30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8张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48.00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条幅6X0.6X2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7.2平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108.00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条幅7X0.6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4.2平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63.00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条幅10X0.8X2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16平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指示牌35X55KT板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桌挡135X60KT板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17块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1870.00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文件袋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10个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打印试卷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300份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22号晚工作餐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50份</w:t>
            </w:r>
          </w:p>
        </w:tc>
        <w:tc>
          <w:tcPr>
            <w:tcW w:w="12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1500.00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合计</w:t>
            </w:r>
          </w:p>
        </w:tc>
        <w:tc>
          <w:tcPr>
            <w:tcW w:w="3660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22193.50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8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36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预算总计</w:t>
            </w:r>
          </w:p>
        </w:tc>
        <w:tc>
          <w:tcPr>
            <w:tcW w:w="3660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52918.50</w:t>
            </w:r>
          </w:p>
        </w:tc>
        <w:tc>
          <w:tcPr>
            <w:tcW w:w="122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9199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7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2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4983FC9"/>
    <w:rsid w:val="44B953D3"/>
    <w:rsid w:val="46E2098A"/>
    <w:rsid w:val="4BF26F96"/>
    <w:rsid w:val="4D957C46"/>
    <w:rsid w:val="52F67C97"/>
    <w:rsid w:val="55C776C9"/>
    <w:rsid w:val="59B37CF5"/>
    <w:rsid w:val="63B20CCB"/>
    <w:rsid w:val="642F4DB7"/>
    <w:rsid w:val="6BF727FC"/>
    <w:rsid w:val="6CA853A6"/>
    <w:rsid w:val="6FB91755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11</TotalTime>
  <ScaleCrop>false</ScaleCrop>
  <LinksUpToDate>false</LinksUpToDate>
  <CharactersWithSpaces>1498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2023-10-21T02:23:58Z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CE7748162FCF49A49CCDCDB916EF08C2_13</vt:lpwstr>
  </property>
</Properties>
</file>