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61BF7">
      <w:pPr>
        <w:spacing w:before="1560" w:beforeLines="500"/>
        <w:jc w:val="center"/>
        <w:rPr>
          <w:rFonts w:hint="eastAsia" w:ascii="方正小标宋简体" w:eastAsia="方正小标宋简体"/>
          <w:sz w:val="52"/>
          <w:szCs w:val="52"/>
        </w:rPr>
      </w:pPr>
      <w:bookmarkStart w:id="0" w:name="_Toc204689868"/>
    </w:p>
    <w:p w14:paraId="23EBBAB0">
      <w:pPr>
        <w:spacing w:before="1560" w:beforeLines="500"/>
        <w:jc w:val="center"/>
        <w:rPr>
          <w:rFonts w:ascii="方正小标宋简体" w:eastAsia="方正小标宋简体"/>
          <w:sz w:val="52"/>
          <w:szCs w:val="52"/>
        </w:rPr>
      </w:pPr>
      <w:r>
        <w:rPr>
          <w:rFonts w:hint="eastAsia" w:ascii="方正小标宋简体" w:eastAsia="方正小标宋简体"/>
          <w:sz w:val="52"/>
          <w:szCs w:val="52"/>
        </w:rPr>
        <w:t>赤峰市医院</w:t>
      </w:r>
      <w:bookmarkStart w:id="1" w:name="OLE_LINK6"/>
      <w:bookmarkStart w:id="2" w:name="OLE_LINK5"/>
      <w:r>
        <w:rPr>
          <w:rFonts w:hint="eastAsia" w:ascii="方正小标宋简体" w:eastAsia="方正小标宋简体"/>
          <w:sz w:val="52"/>
          <w:szCs w:val="52"/>
        </w:rPr>
        <w:t>企业年金计划受托管理服务项目</w:t>
      </w:r>
      <w:bookmarkEnd w:id="0"/>
      <w:bookmarkEnd w:id="1"/>
      <w:bookmarkEnd w:id="2"/>
    </w:p>
    <w:p w14:paraId="40EC0B4C">
      <w:pPr>
        <w:rPr>
          <w:rFonts w:ascii="仿宋" w:hAnsi="仿宋" w:eastAsia="仿宋"/>
          <w:color w:val="000000" w:themeColor="text1"/>
          <w14:textFill>
            <w14:solidFill>
              <w14:schemeClr w14:val="tx1"/>
            </w14:solidFill>
          </w14:textFill>
        </w:rPr>
      </w:pPr>
    </w:p>
    <w:p w14:paraId="7D3D2728">
      <w:pPr>
        <w:rPr>
          <w:rFonts w:ascii="仿宋" w:hAnsi="仿宋" w:eastAsia="仿宋"/>
          <w:color w:val="000000" w:themeColor="text1"/>
          <w14:textFill>
            <w14:solidFill>
              <w14:schemeClr w14:val="tx1"/>
            </w14:solidFill>
          </w14:textFill>
        </w:rPr>
      </w:pPr>
    </w:p>
    <w:p w14:paraId="17F6CF27">
      <w:pPr>
        <w:rPr>
          <w:rFonts w:ascii="仿宋" w:hAnsi="仿宋" w:eastAsia="仿宋"/>
          <w:color w:val="000000" w:themeColor="text1"/>
          <w14:textFill>
            <w14:solidFill>
              <w14:schemeClr w14:val="tx1"/>
            </w14:solidFill>
          </w14:textFill>
        </w:rPr>
      </w:pPr>
    </w:p>
    <w:p w14:paraId="6BAB1B02">
      <w:pPr>
        <w:rPr>
          <w:rFonts w:ascii="仿宋" w:hAnsi="仿宋" w:eastAsia="仿宋"/>
          <w:color w:val="000000" w:themeColor="text1"/>
          <w14:textFill>
            <w14:solidFill>
              <w14:schemeClr w14:val="tx1"/>
            </w14:solidFill>
          </w14:textFill>
        </w:rPr>
      </w:pPr>
    </w:p>
    <w:p w14:paraId="622DA238">
      <w:pPr>
        <w:jc w:val="center"/>
        <w:rPr>
          <w:rFonts w:ascii="方正小标宋简体" w:hAnsi="宋体" w:eastAsia="方正小标宋简体"/>
          <w:bCs/>
          <w:color w:val="000000" w:themeColor="text1"/>
          <w:sz w:val="72"/>
          <w:szCs w:val="72"/>
          <w14:textFill>
            <w14:solidFill>
              <w14:schemeClr w14:val="tx1"/>
            </w14:solidFill>
          </w14:textFill>
        </w:rPr>
      </w:pPr>
      <w:r>
        <w:rPr>
          <w:rFonts w:hint="eastAsia" w:ascii="方正小标宋简体" w:hAnsi="宋体" w:eastAsia="方正小标宋简体"/>
          <w:bCs/>
          <w:color w:val="000000" w:themeColor="text1"/>
          <w:sz w:val="72"/>
          <w:szCs w:val="72"/>
          <w14:textFill>
            <w14:solidFill>
              <w14:schemeClr w14:val="tx1"/>
            </w14:solidFill>
          </w14:textFill>
        </w:rPr>
        <w:t>招标文件</w:t>
      </w:r>
    </w:p>
    <w:p w14:paraId="5579E3E1">
      <w:pPr>
        <w:jc w:val="center"/>
        <w:rPr>
          <w:rFonts w:ascii="宋体" w:hAnsi="宋体" w:eastAsia="仿宋"/>
          <w:b/>
          <w:bCs/>
          <w:color w:val="000000" w:themeColor="text1"/>
          <w:sz w:val="24"/>
          <w14:textFill>
            <w14:solidFill>
              <w14:schemeClr w14:val="tx1"/>
            </w14:solidFill>
          </w14:textFill>
        </w:rPr>
      </w:pPr>
    </w:p>
    <w:p w14:paraId="5A84CB72">
      <w:pPr>
        <w:jc w:val="center"/>
        <w:rPr>
          <w:rFonts w:ascii="宋体" w:hAnsi="宋体" w:eastAsia="仿宋"/>
          <w:b/>
          <w:bCs/>
          <w:color w:val="000000" w:themeColor="text1"/>
          <w:sz w:val="24"/>
          <w14:textFill>
            <w14:solidFill>
              <w14:schemeClr w14:val="tx1"/>
            </w14:solidFill>
          </w14:textFill>
        </w:rPr>
      </w:pPr>
    </w:p>
    <w:p w14:paraId="79675034">
      <w:pPr>
        <w:jc w:val="center"/>
        <w:rPr>
          <w:rFonts w:ascii="宋体" w:hAnsi="宋体" w:eastAsia="仿宋"/>
          <w:b/>
          <w:bCs/>
          <w:color w:val="000000" w:themeColor="text1"/>
          <w:sz w:val="24"/>
          <w14:textFill>
            <w14:solidFill>
              <w14:schemeClr w14:val="tx1"/>
            </w14:solidFill>
          </w14:textFill>
        </w:rPr>
      </w:pPr>
    </w:p>
    <w:p w14:paraId="4CEE7BEC">
      <w:pPr>
        <w:jc w:val="center"/>
        <w:rPr>
          <w:rFonts w:ascii="宋体" w:hAnsi="宋体" w:eastAsia="仿宋"/>
          <w:b/>
          <w:bCs/>
          <w:color w:val="000000" w:themeColor="text1"/>
          <w:sz w:val="24"/>
          <w14:textFill>
            <w14:solidFill>
              <w14:schemeClr w14:val="tx1"/>
            </w14:solidFill>
          </w14:textFill>
        </w:rPr>
      </w:pPr>
    </w:p>
    <w:p w14:paraId="53028DF8">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sdt>
      <w:sdtPr>
        <w:rPr>
          <w:rFonts w:ascii="宋体" w:hAnsi="宋体" w:eastAsia="仿宋" w:cstheme="minorBidi"/>
          <w:b/>
          <w:bCs/>
          <w:color w:val="000000" w:themeColor="text1"/>
          <w:kern w:val="2"/>
          <w:sz w:val="24"/>
          <w:szCs w:val="24"/>
          <w14:textFill>
            <w14:solidFill>
              <w14:schemeClr w14:val="tx1"/>
            </w14:solidFill>
          </w14:textFill>
          <w14:ligatures w14:val="standardContextual"/>
        </w:rPr>
        <w:id w:val="466637923"/>
        <w:docPartObj>
          <w:docPartGallery w:val="Table of Contents"/>
          <w:docPartUnique/>
        </w:docPartObj>
      </w:sdtPr>
      <w:sdtEndPr>
        <w:rPr>
          <w:rFonts w:ascii="宋体" w:hAnsi="宋体" w:eastAsia="仿宋" w:cstheme="minorBidi"/>
          <w:b/>
          <w:bCs/>
          <w:color w:val="000000" w:themeColor="text1"/>
          <w:kern w:val="2"/>
          <w:sz w:val="24"/>
          <w:szCs w:val="24"/>
          <w14:textFill>
            <w14:solidFill>
              <w14:schemeClr w14:val="tx1"/>
            </w14:solidFill>
          </w14:textFill>
          <w14:ligatures w14:val="standardContextual"/>
        </w:rPr>
      </w:sdtEndPr>
      <w:sdtContent>
        <w:p w14:paraId="7B6ED6F6">
          <w:pPr>
            <w:pStyle w:val="15"/>
            <w:rPr>
              <w:rFonts w:ascii="宋体" w:hAnsi="宋体" w:eastAsia="仿宋" w:cstheme="minorBidi"/>
              <w:b/>
              <w:bCs/>
              <w:color w:val="000000" w:themeColor="text1"/>
              <w:kern w:val="2"/>
              <w14:textFill>
                <w14:solidFill>
                  <w14:schemeClr w14:val="tx1"/>
                </w14:solidFill>
              </w14:textFill>
              <w14:ligatures w14:val="standardContextual"/>
            </w:rPr>
          </w:pPr>
          <w:r>
            <w:rPr>
              <w:rFonts w:ascii="宋体" w:hAnsi="宋体" w:eastAsia="仿宋" w:cstheme="minorBidi"/>
              <w:b/>
              <w:bCs/>
              <w:color w:val="000000" w:themeColor="text1"/>
              <w:kern w:val="2"/>
              <w14:textFill>
                <w14:solidFill>
                  <w14:schemeClr w14:val="tx1"/>
                </w14:solidFill>
              </w14:textFill>
              <w14:ligatures w14:val="standardContextual"/>
            </w:rPr>
            <w:t>目</w:t>
          </w:r>
          <w:r>
            <w:rPr>
              <w:rFonts w:hint="eastAsia" w:ascii="宋体" w:hAnsi="宋体" w:eastAsia="仿宋" w:cstheme="minorBidi"/>
              <w:b/>
              <w:bCs/>
              <w:color w:val="000000" w:themeColor="text1"/>
              <w:kern w:val="2"/>
              <w14:textFill>
                <w14:solidFill>
                  <w14:schemeClr w14:val="tx1"/>
                </w14:solidFill>
              </w14:textFill>
              <w14:ligatures w14:val="standardContextual"/>
            </w:rPr>
            <w:t xml:space="preserve"> </w:t>
          </w:r>
          <w:r>
            <w:rPr>
              <w:rFonts w:ascii="宋体" w:hAnsi="宋体" w:eastAsia="仿宋" w:cstheme="minorBidi"/>
              <w:b/>
              <w:bCs/>
              <w:color w:val="000000" w:themeColor="text1"/>
              <w:kern w:val="2"/>
              <w14:textFill>
                <w14:solidFill>
                  <w14:schemeClr w14:val="tx1"/>
                </w14:solidFill>
              </w14:textFill>
              <w14:ligatures w14:val="standardContextual"/>
            </w:rPr>
            <w:t xml:space="preserve"> 录</w:t>
          </w:r>
        </w:p>
        <w:p w14:paraId="006F0495">
          <w:pPr>
            <w:pStyle w:val="11"/>
            <w:jc w:val="center"/>
            <w:rPr>
              <w:rFonts w:ascii="宋体" w:hAnsi="宋体" w:eastAsia="仿宋" w:cstheme="minorBidi"/>
              <w:b/>
              <w:bCs/>
              <w:color w:val="000000" w:themeColor="text1"/>
              <w14:textFill>
                <w14:solidFill>
                  <w14:schemeClr w14:val="tx1"/>
                </w14:solidFill>
              </w14:textFill>
              <w14:ligatures w14:val="standardContextual"/>
            </w:rPr>
          </w:pPr>
          <w:r>
            <w:rPr>
              <w:rFonts w:ascii="宋体" w:hAnsi="宋体" w:eastAsia="仿宋" w:cstheme="minorBidi"/>
              <w:b/>
              <w:bCs/>
              <w:color w:val="000000" w:themeColor="text1"/>
              <w14:textFill>
                <w14:solidFill>
                  <w14:schemeClr w14:val="tx1"/>
                </w14:solidFill>
              </w14:textFill>
              <w14:ligatures w14:val="standardContextual"/>
            </w:rPr>
            <w:fldChar w:fldCharType="begin"/>
          </w:r>
          <w:r>
            <w:rPr>
              <w:rFonts w:ascii="宋体" w:hAnsi="宋体" w:eastAsia="仿宋" w:cstheme="minorBidi"/>
              <w:b/>
              <w:bCs/>
              <w:color w:val="000000" w:themeColor="text1"/>
              <w14:textFill>
                <w14:solidFill>
                  <w14:schemeClr w14:val="tx1"/>
                </w14:solidFill>
              </w14:textFill>
              <w14:ligatures w14:val="standardContextual"/>
            </w:rPr>
            <w:instrText xml:space="preserve"> TOC \o "1-3" \h \z \u </w:instrText>
          </w:r>
          <w:r>
            <w:rPr>
              <w:rFonts w:ascii="宋体" w:hAnsi="宋体" w:eastAsia="仿宋" w:cstheme="minorBidi"/>
              <w:b/>
              <w:bCs/>
              <w:color w:val="000000" w:themeColor="text1"/>
              <w14:textFill>
                <w14:solidFill>
                  <w14:schemeClr w14:val="tx1"/>
                </w14:solidFill>
              </w14:textFill>
              <w14:ligatures w14:val="standardContextual"/>
            </w:rPr>
            <w:fldChar w:fldCharType="separate"/>
          </w:r>
        </w:p>
        <w:p w14:paraId="3E0F7649">
          <w:pPr>
            <w:pStyle w:val="11"/>
            <w:jc w:val="center"/>
            <w:rPr>
              <w:rFonts w:ascii="宋体" w:hAnsi="宋体" w:eastAsia="仿宋" w:cstheme="minorBidi"/>
              <w:bCs/>
              <w:color w:val="000000" w:themeColor="text1"/>
              <w:sz w:val="28"/>
              <w:szCs w:val="28"/>
              <w14:textFill>
                <w14:solidFill>
                  <w14:schemeClr w14:val="tx1"/>
                </w14:solidFill>
              </w14:textFill>
              <w14:ligatures w14:val="standardContextual"/>
            </w:rPr>
          </w:pPr>
          <w:r>
            <w:fldChar w:fldCharType="begin"/>
          </w:r>
          <w:r>
            <w:instrText xml:space="preserve"> HYPERLINK \l "_Toc204689869" </w:instrText>
          </w:r>
          <w:r>
            <w:fldChar w:fldCharType="separate"/>
          </w:r>
          <w:r>
            <w:rPr>
              <w:rFonts w:hint="eastAsia" w:ascii="宋体" w:hAnsi="宋体" w:cstheme="minorBidi"/>
              <w:bCs/>
              <w:color w:val="000000" w:themeColor="text1"/>
              <w:sz w:val="28"/>
              <w:szCs w:val="28"/>
              <w14:textFill>
                <w14:solidFill>
                  <w14:schemeClr w14:val="tx1"/>
                </w14:solidFill>
              </w14:textFill>
              <w14:ligatures w14:val="standardContextual"/>
            </w:rPr>
            <w:t>投标邀请</w:t>
          </w:r>
          <w:r>
            <w:rPr>
              <w:rFonts w:hint="eastAsia" w:ascii="宋体" w:hAnsi="宋体" w:eastAsia="仿宋" w:cstheme="minorBidi"/>
              <w:bCs/>
              <w:color w:val="000000" w:themeColor="text1"/>
              <w:sz w:val="28"/>
              <w:szCs w:val="28"/>
              <w14:textFill>
                <w14:solidFill>
                  <w14:schemeClr w14:val="tx1"/>
                </w14:solidFill>
              </w14:textFill>
              <w14:ligatures w14:val="standardContextual"/>
            </w:rPr>
            <w:tab/>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begin"/>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ascii="宋体" w:hAnsi="宋体" w:eastAsia="仿宋" w:cstheme="minorBidi"/>
              <w:bCs/>
              <w:color w:val="000000" w:themeColor="text1"/>
              <w:sz w:val="28"/>
              <w:szCs w:val="28"/>
              <w14:textFill>
                <w14:solidFill>
                  <w14:schemeClr w14:val="tx1"/>
                </w14:solidFill>
              </w14:textFill>
              <w14:ligatures w14:val="standardContextual"/>
            </w:rPr>
            <w:instrText xml:space="preserve">PAGEREF _Toc204689869 \h</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separate"/>
          </w:r>
          <w:r>
            <w:rPr>
              <w:rFonts w:ascii="宋体" w:hAnsi="宋体" w:eastAsia="仿宋" w:cstheme="minorBidi"/>
              <w:bCs/>
              <w:color w:val="000000" w:themeColor="text1"/>
              <w:sz w:val="28"/>
              <w:szCs w:val="28"/>
              <w14:textFill>
                <w14:solidFill>
                  <w14:schemeClr w14:val="tx1"/>
                </w14:solidFill>
              </w14:textFill>
              <w14:ligatures w14:val="standardContextual"/>
            </w:rPr>
            <w:t>1</w: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p>
        <w:p w14:paraId="159C826E">
          <w:pPr>
            <w:pStyle w:val="11"/>
            <w:tabs>
              <w:tab w:val="left" w:pos="1260"/>
            </w:tabs>
            <w:jc w:val="center"/>
            <w:rPr>
              <w:rFonts w:ascii="宋体" w:hAnsi="宋体" w:eastAsia="仿宋" w:cstheme="minorBidi"/>
              <w:bCs/>
              <w:color w:val="000000" w:themeColor="text1"/>
              <w:sz w:val="28"/>
              <w:szCs w:val="28"/>
              <w14:textFill>
                <w14:solidFill>
                  <w14:schemeClr w14:val="tx1"/>
                </w14:solidFill>
              </w14:textFill>
              <w14:ligatures w14:val="standardContextual"/>
            </w:rPr>
          </w:pPr>
          <w:r>
            <w:fldChar w:fldCharType="begin"/>
          </w:r>
          <w:r>
            <w:instrText xml:space="preserve"> HYPERLINK \l "_Toc204689870" </w:instrText>
          </w:r>
          <w:r>
            <w:fldChar w:fldCharType="separate"/>
          </w:r>
          <w:r>
            <w:rPr>
              <w:rFonts w:hint="eastAsia" w:ascii="宋体" w:hAnsi="宋体" w:cstheme="minorBidi"/>
              <w:bCs/>
              <w:color w:val="000000" w:themeColor="text1"/>
              <w:sz w:val="28"/>
              <w:szCs w:val="28"/>
              <w14:textFill>
                <w14:solidFill>
                  <w14:schemeClr w14:val="tx1"/>
                </w14:solidFill>
              </w14:textFill>
              <w14:ligatures w14:val="standardContextual"/>
            </w:rPr>
            <w:t>第一章</w:t>
          </w:r>
          <w:r>
            <w:rPr>
              <w:rFonts w:hint="eastAsia" w:ascii="宋体" w:hAnsi="宋体" w:eastAsia="仿宋" w:cstheme="minorBidi"/>
              <w:bCs/>
              <w:color w:val="000000" w:themeColor="text1"/>
              <w:sz w:val="28"/>
              <w:szCs w:val="28"/>
              <w14:textFill>
                <w14:solidFill>
                  <w14:schemeClr w14:val="tx1"/>
                </w14:solidFill>
              </w14:textFill>
              <w14:ligatures w14:val="standardContextual"/>
            </w:rPr>
            <w:tab/>
          </w:r>
          <w:r>
            <w:rPr>
              <w:rFonts w:hint="eastAsia" w:ascii="宋体" w:hAnsi="宋体" w:cstheme="minorBidi"/>
              <w:bCs/>
              <w:color w:val="000000" w:themeColor="text1"/>
              <w:sz w:val="28"/>
              <w:szCs w:val="28"/>
              <w14:textFill>
                <w14:solidFill>
                  <w14:schemeClr w14:val="tx1"/>
                </w14:solidFill>
              </w14:textFill>
              <w14:ligatures w14:val="standardContextual"/>
            </w:rPr>
            <w:t>投标人须知</w:t>
          </w:r>
          <w:r>
            <w:rPr>
              <w:rFonts w:hint="eastAsia" w:ascii="宋体" w:hAnsi="宋体" w:eastAsia="仿宋" w:cstheme="minorBidi"/>
              <w:bCs/>
              <w:color w:val="000000" w:themeColor="text1"/>
              <w:sz w:val="28"/>
              <w:szCs w:val="28"/>
              <w14:textFill>
                <w14:solidFill>
                  <w14:schemeClr w14:val="tx1"/>
                </w14:solidFill>
              </w14:textFill>
              <w14:ligatures w14:val="standardContextual"/>
            </w:rPr>
            <w:tab/>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begin"/>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ascii="宋体" w:hAnsi="宋体" w:eastAsia="仿宋" w:cstheme="minorBidi"/>
              <w:bCs/>
              <w:color w:val="000000" w:themeColor="text1"/>
              <w:sz w:val="28"/>
              <w:szCs w:val="28"/>
              <w14:textFill>
                <w14:solidFill>
                  <w14:schemeClr w14:val="tx1"/>
                </w14:solidFill>
              </w14:textFill>
              <w14:ligatures w14:val="standardContextual"/>
            </w:rPr>
            <w:instrText xml:space="preserve">PAGEREF _Toc204689870 \h</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separate"/>
          </w:r>
          <w:r>
            <w:rPr>
              <w:rFonts w:ascii="宋体" w:hAnsi="宋体" w:eastAsia="仿宋" w:cstheme="minorBidi"/>
              <w:bCs/>
              <w:color w:val="000000" w:themeColor="text1"/>
              <w:sz w:val="28"/>
              <w:szCs w:val="28"/>
              <w14:textFill>
                <w14:solidFill>
                  <w14:schemeClr w14:val="tx1"/>
                </w14:solidFill>
              </w14:textFill>
              <w14:ligatures w14:val="standardContextual"/>
            </w:rPr>
            <w:t>5</w: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p>
        <w:p w14:paraId="30446372">
          <w:pPr>
            <w:pStyle w:val="11"/>
            <w:tabs>
              <w:tab w:val="left" w:pos="1260"/>
            </w:tabs>
            <w:jc w:val="center"/>
            <w:rPr>
              <w:rFonts w:ascii="宋体" w:hAnsi="宋体" w:eastAsia="仿宋" w:cstheme="minorBidi"/>
              <w:bCs/>
              <w:color w:val="000000" w:themeColor="text1"/>
              <w:sz w:val="28"/>
              <w:szCs w:val="28"/>
              <w14:textFill>
                <w14:solidFill>
                  <w14:schemeClr w14:val="tx1"/>
                </w14:solidFill>
              </w14:textFill>
              <w14:ligatures w14:val="standardContextual"/>
            </w:rPr>
          </w:pPr>
          <w:r>
            <w:fldChar w:fldCharType="begin"/>
          </w:r>
          <w:r>
            <w:instrText xml:space="preserve"> HYPERLINK \l "_Toc204689924" </w:instrText>
          </w:r>
          <w:r>
            <w:fldChar w:fldCharType="separate"/>
          </w:r>
          <w:r>
            <w:rPr>
              <w:rFonts w:hint="eastAsia" w:ascii="宋体" w:hAnsi="宋体" w:cstheme="minorBidi"/>
              <w:bCs/>
              <w:color w:val="000000" w:themeColor="text1"/>
              <w:sz w:val="28"/>
              <w:szCs w:val="28"/>
              <w14:textFill>
                <w14:solidFill>
                  <w14:schemeClr w14:val="tx1"/>
                </w14:solidFill>
              </w14:textFill>
              <w14:ligatures w14:val="standardContextual"/>
            </w:rPr>
            <w:t>第二章</w:t>
          </w:r>
          <w:r>
            <w:rPr>
              <w:rFonts w:hint="eastAsia" w:ascii="宋体" w:hAnsi="宋体" w:eastAsia="仿宋" w:cstheme="minorBidi"/>
              <w:bCs/>
              <w:color w:val="000000" w:themeColor="text1"/>
              <w:sz w:val="28"/>
              <w:szCs w:val="28"/>
              <w14:textFill>
                <w14:solidFill>
                  <w14:schemeClr w14:val="tx1"/>
                </w14:solidFill>
              </w14:textFill>
              <w14:ligatures w14:val="standardContextual"/>
            </w:rPr>
            <w:tab/>
          </w:r>
          <w:r>
            <w:rPr>
              <w:rFonts w:hint="eastAsia" w:ascii="宋体" w:hAnsi="宋体" w:cstheme="minorBidi"/>
              <w:bCs/>
              <w:color w:val="000000" w:themeColor="text1"/>
              <w:sz w:val="28"/>
              <w:szCs w:val="28"/>
              <w14:textFill>
                <w14:solidFill>
                  <w14:schemeClr w14:val="tx1"/>
                </w14:solidFill>
              </w14:textFill>
              <w14:ligatures w14:val="standardContextual"/>
            </w:rPr>
            <w:t>采购需求</w:t>
          </w:r>
          <w:r>
            <w:rPr>
              <w:rFonts w:hint="eastAsia" w:ascii="宋体" w:hAnsi="宋体" w:eastAsia="仿宋" w:cstheme="minorBidi"/>
              <w:bCs/>
              <w:color w:val="000000" w:themeColor="text1"/>
              <w:sz w:val="28"/>
              <w:szCs w:val="28"/>
              <w14:textFill>
                <w14:solidFill>
                  <w14:schemeClr w14:val="tx1"/>
                </w14:solidFill>
              </w14:textFill>
              <w14:ligatures w14:val="standardContextual"/>
            </w:rPr>
            <w:tab/>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begin"/>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ascii="宋体" w:hAnsi="宋体" w:eastAsia="仿宋" w:cstheme="minorBidi"/>
              <w:bCs/>
              <w:color w:val="000000" w:themeColor="text1"/>
              <w:sz w:val="28"/>
              <w:szCs w:val="28"/>
              <w14:textFill>
                <w14:solidFill>
                  <w14:schemeClr w14:val="tx1"/>
                </w14:solidFill>
              </w14:textFill>
              <w14:ligatures w14:val="standardContextual"/>
            </w:rPr>
            <w:instrText xml:space="preserve">PAGEREF _Toc204689924 \h</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separate"/>
          </w:r>
          <w:r>
            <w:rPr>
              <w:rFonts w:ascii="宋体" w:hAnsi="宋体" w:eastAsia="仿宋" w:cstheme="minorBidi"/>
              <w:bCs/>
              <w:color w:val="000000" w:themeColor="text1"/>
              <w:sz w:val="28"/>
              <w:szCs w:val="28"/>
              <w14:textFill>
                <w14:solidFill>
                  <w14:schemeClr w14:val="tx1"/>
                </w14:solidFill>
              </w14:textFill>
              <w14:ligatures w14:val="standardContextual"/>
            </w:rPr>
            <w:t>30</w: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p>
        <w:p w14:paraId="444AE92D">
          <w:pPr>
            <w:pStyle w:val="11"/>
            <w:tabs>
              <w:tab w:val="left" w:pos="1260"/>
            </w:tabs>
            <w:jc w:val="center"/>
            <w:rPr>
              <w:rFonts w:ascii="宋体" w:hAnsi="宋体" w:eastAsia="仿宋" w:cstheme="minorBidi"/>
              <w:bCs/>
              <w:color w:val="000000" w:themeColor="text1"/>
              <w:sz w:val="28"/>
              <w:szCs w:val="28"/>
              <w14:textFill>
                <w14:solidFill>
                  <w14:schemeClr w14:val="tx1"/>
                </w14:solidFill>
              </w14:textFill>
              <w14:ligatures w14:val="standardContextual"/>
            </w:rPr>
          </w:pPr>
          <w:r>
            <w:fldChar w:fldCharType="begin"/>
          </w:r>
          <w:r>
            <w:instrText xml:space="preserve"> HYPERLINK \l "_Toc204689929" </w:instrText>
          </w:r>
          <w:r>
            <w:fldChar w:fldCharType="separate"/>
          </w:r>
          <w:r>
            <w:rPr>
              <w:rFonts w:hint="eastAsia" w:ascii="宋体" w:hAnsi="宋体" w:cstheme="minorBidi"/>
              <w:bCs/>
              <w:color w:val="000000" w:themeColor="text1"/>
              <w:sz w:val="28"/>
              <w:szCs w:val="28"/>
              <w14:textFill>
                <w14:solidFill>
                  <w14:schemeClr w14:val="tx1"/>
                </w14:solidFill>
              </w14:textFill>
              <w14:ligatures w14:val="standardContextual"/>
            </w:rPr>
            <w:t>第三章</w:t>
          </w:r>
          <w:r>
            <w:rPr>
              <w:rFonts w:hint="eastAsia" w:ascii="宋体" w:hAnsi="宋体" w:eastAsia="仿宋" w:cstheme="minorBidi"/>
              <w:bCs/>
              <w:color w:val="000000" w:themeColor="text1"/>
              <w:sz w:val="28"/>
              <w:szCs w:val="28"/>
              <w14:textFill>
                <w14:solidFill>
                  <w14:schemeClr w14:val="tx1"/>
                </w14:solidFill>
              </w14:textFill>
              <w14:ligatures w14:val="standardContextual"/>
            </w:rPr>
            <w:tab/>
          </w:r>
          <w:r>
            <w:rPr>
              <w:rFonts w:hint="eastAsia" w:ascii="宋体" w:hAnsi="宋体" w:cstheme="minorBidi"/>
              <w:bCs/>
              <w:color w:val="000000" w:themeColor="text1"/>
              <w:sz w:val="28"/>
              <w:szCs w:val="28"/>
              <w14:textFill>
                <w14:solidFill>
                  <w14:schemeClr w14:val="tx1"/>
                </w14:solidFill>
              </w14:textFill>
              <w14:ligatures w14:val="standardContextual"/>
            </w:rPr>
            <w:t>评标标准</w:t>
          </w:r>
          <w:r>
            <w:rPr>
              <w:rFonts w:hint="eastAsia" w:ascii="宋体" w:hAnsi="宋体" w:eastAsia="仿宋" w:cstheme="minorBidi"/>
              <w:bCs/>
              <w:color w:val="000000" w:themeColor="text1"/>
              <w:sz w:val="28"/>
              <w:szCs w:val="28"/>
              <w14:textFill>
                <w14:solidFill>
                  <w14:schemeClr w14:val="tx1"/>
                </w14:solidFill>
              </w14:textFill>
              <w14:ligatures w14:val="standardContextual"/>
            </w:rPr>
            <w:tab/>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begin"/>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ascii="宋体" w:hAnsi="宋体" w:eastAsia="仿宋" w:cstheme="minorBidi"/>
              <w:bCs/>
              <w:color w:val="000000" w:themeColor="text1"/>
              <w:sz w:val="28"/>
              <w:szCs w:val="28"/>
              <w14:textFill>
                <w14:solidFill>
                  <w14:schemeClr w14:val="tx1"/>
                </w14:solidFill>
              </w14:textFill>
              <w14:ligatures w14:val="standardContextual"/>
            </w:rPr>
            <w:instrText xml:space="preserve">PAGEREF _Toc204689929 \h</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separate"/>
          </w:r>
          <w:r>
            <w:rPr>
              <w:rFonts w:ascii="宋体" w:hAnsi="宋体" w:eastAsia="仿宋" w:cstheme="minorBidi"/>
              <w:bCs/>
              <w:color w:val="000000" w:themeColor="text1"/>
              <w:sz w:val="28"/>
              <w:szCs w:val="28"/>
              <w14:textFill>
                <w14:solidFill>
                  <w14:schemeClr w14:val="tx1"/>
                </w14:solidFill>
              </w14:textFill>
              <w14:ligatures w14:val="standardContextual"/>
            </w:rPr>
            <w:t>33</w: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p>
        <w:p w14:paraId="033C0949">
          <w:pPr>
            <w:pStyle w:val="11"/>
            <w:tabs>
              <w:tab w:val="left" w:pos="1260"/>
            </w:tabs>
            <w:jc w:val="center"/>
            <w:rPr>
              <w:rFonts w:ascii="宋体" w:hAnsi="宋体" w:eastAsia="仿宋" w:cstheme="minorBidi"/>
              <w:bCs/>
              <w:color w:val="000000" w:themeColor="text1"/>
              <w:sz w:val="28"/>
              <w:szCs w:val="28"/>
              <w14:textFill>
                <w14:solidFill>
                  <w14:schemeClr w14:val="tx1"/>
                </w14:solidFill>
              </w14:textFill>
              <w14:ligatures w14:val="standardContextual"/>
            </w:rPr>
          </w:pPr>
          <w:r>
            <w:fldChar w:fldCharType="begin"/>
          </w:r>
          <w:r>
            <w:instrText xml:space="preserve"> HYPERLINK \l "_Toc204689934" </w:instrText>
          </w:r>
          <w:r>
            <w:fldChar w:fldCharType="separate"/>
          </w:r>
          <w:r>
            <w:rPr>
              <w:rFonts w:hint="eastAsia" w:ascii="宋体" w:hAnsi="宋体" w:cstheme="minorBidi"/>
              <w:bCs/>
              <w:color w:val="000000" w:themeColor="text1"/>
              <w:sz w:val="28"/>
              <w:szCs w:val="28"/>
              <w14:textFill>
                <w14:solidFill>
                  <w14:schemeClr w14:val="tx1"/>
                </w14:solidFill>
              </w14:textFill>
              <w14:ligatures w14:val="standardContextual"/>
            </w:rPr>
            <w:t>第四章</w:t>
          </w:r>
          <w:r>
            <w:rPr>
              <w:rFonts w:hint="eastAsia" w:ascii="宋体" w:hAnsi="宋体" w:eastAsia="仿宋" w:cstheme="minorBidi"/>
              <w:bCs/>
              <w:color w:val="000000" w:themeColor="text1"/>
              <w:sz w:val="28"/>
              <w:szCs w:val="28"/>
              <w14:textFill>
                <w14:solidFill>
                  <w14:schemeClr w14:val="tx1"/>
                </w14:solidFill>
              </w14:textFill>
              <w14:ligatures w14:val="standardContextual"/>
            </w:rPr>
            <w:tab/>
          </w:r>
          <w:r>
            <w:rPr>
              <w:rFonts w:hint="eastAsia" w:ascii="宋体" w:hAnsi="宋体" w:cstheme="minorBidi"/>
              <w:bCs/>
              <w:color w:val="000000" w:themeColor="text1"/>
              <w:sz w:val="28"/>
              <w:szCs w:val="28"/>
              <w14:textFill>
                <w14:solidFill>
                  <w14:schemeClr w14:val="tx1"/>
                </w14:solidFill>
              </w14:textFill>
              <w14:ligatures w14:val="standardContextual"/>
            </w:rPr>
            <w:t>合同条款及格式</w:t>
          </w:r>
          <w:r>
            <w:rPr>
              <w:rFonts w:hint="eastAsia" w:ascii="宋体" w:hAnsi="宋体" w:eastAsia="仿宋" w:cstheme="minorBidi"/>
              <w:bCs/>
              <w:color w:val="000000" w:themeColor="text1"/>
              <w:sz w:val="28"/>
              <w:szCs w:val="28"/>
              <w14:textFill>
                <w14:solidFill>
                  <w14:schemeClr w14:val="tx1"/>
                </w14:solidFill>
              </w14:textFill>
              <w14:ligatures w14:val="standardContextual"/>
            </w:rPr>
            <w:tab/>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begin"/>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ascii="宋体" w:hAnsi="宋体" w:eastAsia="仿宋" w:cstheme="minorBidi"/>
              <w:bCs/>
              <w:color w:val="000000" w:themeColor="text1"/>
              <w:sz w:val="28"/>
              <w:szCs w:val="28"/>
              <w14:textFill>
                <w14:solidFill>
                  <w14:schemeClr w14:val="tx1"/>
                </w14:solidFill>
              </w14:textFill>
              <w14:ligatures w14:val="standardContextual"/>
            </w:rPr>
            <w:instrText xml:space="preserve">PAGEREF _Toc204689934 \h</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separate"/>
          </w:r>
          <w:r>
            <w:rPr>
              <w:rFonts w:ascii="宋体" w:hAnsi="宋体" w:eastAsia="仿宋" w:cstheme="minorBidi"/>
              <w:bCs/>
              <w:color w:val="000000" w:themeColor="text1"/>
              <w:sz w:val="28"/>
              <w:szCs w:val="28"/>
              <w14:textFill>
                <w14:solidFill>
                  <w14:schemeClr w14:val="tx1"/>
                </w14:solidFill>
              </w14:textFill>
              <w14:ligatures w14:val="standardContextual"/>
            </w:rPr>
            <w:t>42</w: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p>
        <w:p w14:paraId="6A8D1CE2">
          <w:pPr>
            <w:pStyle w:val="11"/>
            <w:tabs>
              <w:tab w:val="left" w:pos="1260"/>
            </w:tabs>
            <w:jc w:val="center"/>
            <w:rPr>
              <w:rFonts w:ascii="宋体" w:hAnsi="宋体" w:eastAsia="仿宋" w:cstheme="minorBidi"/>
              <w:bCs/>
              <w:color w:val="000000" w:themeColor="text1"/>
              <w:sz w:val="28"/>
              <w:szCs w:val="28"/>
              <w14:textFill>
                <w14:solidFill>
                  <w14:schemeClr w14:val="tx1"/>
                </w14:solidFill>
              </w14:textFill>
              <w14:ligatures w14:val="standardContextual"/>
            </w:rPr>
          </w:pPr>
          <w:r>
            <w:fldChar w:fldCharType="begin"/>
          </w:r>
          <w:r>
            <w:instrText xml:space="preserve"> HYPERLINK \l "_Toc204689956" </w:instrText>
          </w:r>
          <w:r>
            <w:fldChar w:fldCharType="separate"/>
          </w:r>
          <w:r>
            <w:rPr>
              <w:rFonts w:hint="eastAsia" w:ascii="宋体" w:hAnsi="宋体" w:cstheme="minorBidi"/>
              <w:bCs/>
              <w:color w:val="000000" w:themeColor="text1"/>
              <w:sz w:val="28"/>
              <w:szCs w:val="28"/>
              <w14:textFill>
                <w14:solidFill>
                  <w14:schemeClr w14:val="tx1"/>
                </w14:solidFill>
              </w14:textFill>
              <w14:ligatures w14:val="standardContextual"/>
            </w:rPr>
            <w:t>第五章</w:t>
          </w:r>
          <w:r>
            <w:rPr>
              <w:rFonts w:hint="eastAsia" w:ascii="宋体" w:hAnsi="宋体" w:eastAsia="仿宋" w:cstheme="minorBidi"/>
              <w:bCs/>
              <w:color w:val="000000" w:themeColor="text1"/>
              <w:sz w:val="28"/>
              <w:szCs w:val="28"/>
              <w14:textFill>
                <w14:solidFill>
                  <w14:schemeClr w14:val="tx1"/>
                </w14:solidFill>
              </w14:textFill>
              <w14:ligatures w14:val="standardContextual"/>
            </w:rPr>
            <w:tab/>
          </w:r>
          <w:r>
            <w:rPr>
              <w:rFonts w:hint="eastAsia" w:ascii="宋体" w:hAnsi="宋体" w:cstheme="minorBidi"/>
              <w:bCs/>
              <w:color w:val="000000" w:themeColor="text1"/>
              <w:sz w:val="28"/>
              <w:szCs w:val="28"/>
              <w14:textFill>
                <w14:solidFill>
                  <w14:schemeClr w14:val="tx1"/>
                </w14:solidFill>
              </w14:textFill>
              <w14:ligatures w14:val="standardContextual"/>
            </w:rPr>
            <w:t>投标文件格式</w:t>
          </w:r>
          <w:r>
            <w:rPr>
              <w:rFonts w:hint="eastAsia" w:ascii="宋体" w:hAnsi="宋体" w:eastAsia="仿宋" w:cstheme="minorBidi"/>
              <w:bCs/>
              <w:color w:val="000000" w:themeColor="text1"/>
              <w:sz w:val="28"/>
              <w:szCs w:val="28"/>
              <w14:textFill>
                <w14:solidFill>
                  <w14:schemeClr w14:val="tx1"/>
                </w14:solidFill>
              </w14:textFill>
              <w14:ligatures w14:val="standardContextual"/>
            </w:rPr>
            <w:tab/>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begin"/>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ascii="宋体" w:hAnsi="宋体" w:eastAsia="仿宋" w:cstheme="minorBidi"/>
              <w:bCs/>
              <w:color w:val="000000" w:themeColor="text1"/>
              <w:sz w:val="28"/>
              <w:szCs w:val="28"/>
              <w14:textFill>
                <w14:solidFill>
                  <w14:schemeClr w14:val="tx1"/>
                </w14:solidFill>
              </w14:textFill>
              <w14:ligatures w14:val="standardContextual"/>
            </w:rPr>
            <w:instrText xml:space="preserve">PAGEREF _Toc204689956 \h</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instrText xml:space="preserve"> </w:instrTex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separate"/>
          </w:r>
          <w:r>
            <w:rPr>
              <w:rFonts w:ascii="宋体" w:hAnsi="宋体" w:eastAsia="仿宋" w:cstheme="minorBidi"/>
              <w:bCs/>
              <w:color w:val="000000" w:themeColor="text1"/>
              <w:sz w:val="28"/>
              <w:szCs w:val="28"/>
              <w14:textFill>
                <w14:solidFill>
                  <w14:schemeClr w14:val="tx1"/>
                </w14:solidFill>
              </w14:textFill>
              <w14:ligatures w14:val="standardContextual"/>
            </w:rPr>
            <w:t>82</w:t>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r>
            <w:rPr>
              <w:rFonts w:hint="eastAsia" w:ascii="宋体" w:hAnsi="宋体" w:eastAsia="仿宋" w:cstheme="minorBidi"/>
              <w:bCs/>
              <w:color w:val="000000" w:themeColor="text1"/>
              <w:sz w:val="28"/>
              <w:szCs w:val="28"/>
              <w14:textFill>
                <w14:solidFill>
                  <w14:schemeClr w14:val="tx1"/>
                </w14:solidFill>
              </w14:textFill>
              <w14:ligatures w14:val="standardContextual"/>
            </w:rPr>
            <w:fldChar w:fldCharType="end"/>
          </w:r>
        </w:p>
        <w:p w14:paraId="66398816">
          <w:pPr>
            <w:jc w:val="center"/>
            <w:rPr>
              <w:rFonts w:ascii="宋体" w:hAnsi="宋体" w:eastAsia="仿宋"/>
              <w:b/>
              <w:bCs/>
              <w:color w:val="000000" w:themeColor="text1"/>
              <w:sz w:val="24"/>
              <w14:textFill>
                <w14:solidFill>
                  <w14:schemeClr w14:val="tx1"/>
                </w14:solidFill>
              </w14:textFill>
            </w:rPr>
          </w:pPr>
          <w:r>
            <w:rPr>
              <w:rFonts w:ascii="宋体" w:hAnsi="宋体" w:eastAsia="仿宋"/>
              <w:b/>
              <w:bCs/>
              <w:color w:val="000000" w:themeColor="text1"/>
              <w:sz w:val="24"/>
              <w14:textFill>
                <w14:solidFill>
                  <w14:schemeClr w14:val="tx1"/>
                </w14:solidFill>
              </w14:textFill>
            </w:rPr>
            <w:fldChar w:fldCharType="end"/>
          </w:r>
        </w:p>
      </w:sdtContent>
    </w:sdt>
    <w:p w14:paraId="2A4730CA">
      <w:pPr>
        <w:rPr>
          <w:rFonts w:ascii="宋体" w:hAnsi="宋体" w:eastAsia="仿宋"/>
          <w:b/>
          <w:bCs/>
          <w:color w:val="000000" w:themeColor="text1"/>
          <w:sz w:val="24"/>
          <w14:textFill>
            <w14:solidFill>
              <w14:schemeClr w14:val="tx1"/>
            </w14:solidFill>
          </w14:textFill>
        </w:rPr>
      </w:pPr>
    </w:p>
    <w:p w14:paraId="081D5418">
      <w:pPr>
        <w:rPr>
          <w:rFonts w:ascii="宋体" w:hAnsi="宋体" w:eastAsia="仿宋"/>
          <w:b/>
          <w:bCs/>
          <w:color w:val="000000" w:themeColor="text1"/>
          <w:sz w:val="24"/>
          <w14:textFill>
            <w14:solidFill>
              <w14:schemeClr w14:val="tx1"/>
            </w14:solidFill>
          </w14:textFill>
        </w:rPr>
        <w:sectPr>
          <w:footerReference r:id="rId5" w:type="default"/>
          <w:pgSz w:w="11906" w:h="16838"/>
          <w:pgMar w:top="1440" w:right="1797" w:bottom="1440" w:left="1797" w:header="851" w:footer="586" w:gutter="0"/>
          <w:pgNumType w:start="1"/>
          <w:cols w:space="720" w:num="1"/>
          <w:docGrid w:type="lines" w:linePitch="312" w:charSpace="0"/>
        </w:sectPr>
      </w:pPr>
    </w:p>
    <w:p w14:paraId="3B983B74">
      <w:pPr>
        <w:pStyle w:val="2"/>
      </w:pPr>
      <w:bookmarkStart w:id="3" w:name="_Toc204689869"/>
      <w:r>
        <w:rPr>
          <w:rFonts w:hint="eastAsia"/>
        </w:rPr>
        <w:t>投标邀请</w:t>
      </w:r>
      <w:bookmarkEnd w:id="3"/>
    </w:p>
    <w:p w14:paraId="4B0D1573">
      <w:pPr>
        <w:pStyle w:val="3"/>
        <w:ind w:firstLine="562"/>
      </w:pPr>
      <w:r>
        <w:rPr>
          <w:rFonts w:hint="eastAsia"/>
        </w:rPr>
        <w:t>一、项目基本信息</w:t>
      </w:r>
    </w:p>
    <w:p w14:paraId="04A15F87">
      <w:pPr>
        <w:pStyle w:val="16"/>
        <w:spacing w:line="560" w:lineRule="exact"/>
        <w:ind w:left="432"/>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项目编号：BJMSJY-250036</w:t>
      </w:r>
    </w:p>
    <w:p w14:paraId="2D2F724B">
      <w:pPr>
        <w:pStyle w:val="16"/>
        <w:spacing w:line="560" w:lineRule="exact"/>
        <w:ind w:left="432"/>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项目名称：企业年金计划受托管理服务项目</w:t>
      </w:r>
    </w:p>
    <w:p w14:paraId="2D965891">
      <w:pPr>
        <w:pStyle w:val="16"/>
        <w:spacing w:line="560" w:lineRule="exact"/>
        <w:ind w:left="432"/>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采购方式：公开招标</w:t>
      </w:r>
    </w:p>
    <w:p w14:paraId="0B2992AF">
      <w:pPr>
        <w:pStyle w:val="16"/>
        <w:spacing w:line="560" w:lineRule="exact"/>
        <w:ind w:left="432"/>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采购需求：</w:t>
      </w:r>
    </w:p>
    <w:tbl>
      <w:tblPr>
        <w:tblStyle w:val="13"/>
        <w:tblW w:w="863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418"/>
        <w:gridCol w:w="2460"/>
        <w:gridCol w:w="3918"/>
      </w:tblGrid>
      <w:tr w14:paraId="19EC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39" w:type="dxa"/>
            <w:vAlign w:val="center"/>
          </w:tcPr>
          <w:p w14:paraId="244916DA">
            <w:pPr>
              <w:pStyle w:val="16"/>
              <w:spacing w:after="0" w:line="400" w:lineRule="exact"/>
              <w:ind w:lef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序号</w:t>
            </w:r>
          </w:p>
        </w:tc>
        <w:tc>
          <w:tcPr>
            <w:tcW w:w="1418" w:type="dxa"/>
            <w:vAlign w:val="center"/>
          </w:tcPr>
          <w:p w14:paraId="22FE79AC">
            <w:pPr>
              <w:pStyle w:val="16"/>
              <w:spacing w:after="0" w:line="400" w:lineRule="exact"/>
              <w:ind w:lef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服务名称</w:t>
            </w:r>
          </w:p>
        </w:tc>
        <w:tc>
          <w:tcPr>
            <w:tcW w:w="2460" w:type="dxa"/>
            <w:vAlign w:val="center"/>
          </w:tcPr>
          <w:p w14:paraId="4EBC5F9B">
            <w:pPr>
              <w:pStyle w:val="16"/>
              <w:spacing w:after="0" w:line="400" w:lineRule="exact"/>
              <w:ind w:lef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简要采购需求</w:t>
            </w:r>
          </w:p>
        </w:tc>
        <w:tc>
          <w:tcPr>
            <w:tcW w:w="3918" w:type="dxa"/>
            <w:vAlign w:val="center"/>
          </w:tcPr>
          <w:p w14:paraId="2BACA96F">
            <w:pPr>
              <w:pStyle w:val="16"/>
              <w:spacing w:after="0" w:line="400" w:lineRule="exact"/>
              <w:ind w:lef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最高限价</w:t>
            </w:r>
          </w:p>
        </w:tc>
      </w:tr>
      <w:tr w14:paraId="65AE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839" w:type="dxa"/>
            <w:vAlign w:val="center"/>
          </w:tcPr>
          <w:p w14:paraId="2A653509">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w:t>
            </w:r>
          </w:p>
        </w:tc>
        <w:tc>
          <w:tcPr>
            <w:tcW w:w="1418" w:type="dxa"/>
            <w:vAlign w:val="center"/>
          </w:tcPr>
          <w:p w14:paraId="07B050D2">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企业年金计划受托管理服务</w:t>
            </w:r>
          </w:p>
        </w:tc>
        <w:tc>
          <w:tcPr>
            <w:tcW w:w="2460" w:type="dxa"/>
            <w:vAlign w:val="center"/>
          </w:tcPr>
          <w:p w14:paraId="1D055C6E">
            <w:pPr>
              <w:spacing w:after="0" w:line="400" w:lineRule="exact"/>
              <w:rPr>
                <w:rFonts w:ascii="仿宋" w:hAnsi="仿宋" w:eastAsia="仿宋"/>
                <w:bCs/>
                <w:color w:val="000000" w:themeColor="text1"/>
                <w:sz w:val="24"/>
                <w14:textFill>
                  <w14:solidFill>
                    <w14:schemeClr w14:val="tx1"/>
                  </w14:solidFill>
                </w14:textFill>
              </w:rPr>
            </w:pPr>
            <w:bookmarkStart w:id="4" w:name="OLE_LINK8"/>
            <w:bookmarkStart w:id="5" w:name="OLE_LINK7"/>
            <w:r>
              <w:rPr>
                <w:rFonts w:hint="eastAsia" w:ascii="仿宋" w:hAnsi="仿宋" w:eastAsia="仿宋"/>
                <w:bCs/>
                <w:color w:val="000000" w:themeColor="text1"/>
                <w:sz w:val="24"/>
                <w14:textFill>
                  <w14:solidFill>
                    <w14:schemeClr w14:val="tx1"/>
                  </w14:solidFill>
                </w14:textFill>
              </w:rPr>
              <w:t>（一）依法选定具备相应资质符合法律法规的法人机构作为年金基金受托人；</w:t>
            </w:r>
          </w:p>
          <w:p w14:paraId="5A12A475">
            <w:pPr>
              <w:spacing w:after="0" w:line="40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（二）受托人依法、合规开展受托年金基金的投资运营管理工作；</w:t>
            </w:r>
          </w:p>
          <w:p w14:paraId="5FEBE19B">
            <w:pPr>
              <w:spacing w:after="0" w:line="40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（三）协助采购人完成其他必要的相关工作</w:t>
            </w:r>
          </w:p>
          <w:p w14:paraId="6E6F905A">
            <w:pPr>
              <w:spacing w:after="0" w:line="40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注：本年金基金选用集合计划</w:t>
            </w:r>
            <w:bookmarkEnd w:id="4"/>
            <w:bookmarkEnd w:id="5"/>
          </w:p>
        </w:tc>
        <w:tc>
          <w:tcPr>
            <w:tcW w:w="3918" w:type="dxa"/>
            <w:vAlign w:val="center"/>
          </w:tcPr>
          <w:p w14:paraId="33D1097E">
            <w:pPr>
              <w:pStyle w:val="16"/>
              <w:spacing w:after="0" w:line="400" w:lineRule="exact"/>
              <w:ind w:left="0"/>
              <w:rPr>
                <w:rFonts w:ascii="仿宋" w:hAnsi="仿宋" w:eastAsia="仿宋"/>
                <w:bCs/>
                <w:color w:val="000000" w:themeColor="text1"/>
                <w:sz w:val="24"/>
                <w14:textFill>
                  <w14:solidFill>
                    <w14:schemeClr w14:val="tx1"/>
                  </w14:solidFill>
                </w14:textFill>
              </w:rPr>
            </w:pPr>
            <w:bookmarkStart w:id="6" w:name="OLE_LINK43"/>
            <w:bookmarkStart w:id="7" w:name="OLE_LINK42"/>
            <w:r>
              <w:rPr>
                <w:rFonts w:hint="eastAsia" w:ascii="仿宋" w:hAnsi="仿宋" w:eastAsia="仿宋"/>
                <w:bCs/>
                <w:color w:val="000000" w:themeColor="text1"/>
                <w:sz w:val="24"/>
                <w14:textFill>
                  <w14:solidFill>
                    <w14:schemeClr w14:val="tx1"/>
                  </w14:solidFill>
                </w14:textFill>
              </w:rPr>
              <w:t>参考《企业年金基金管理办法》第七章及其他规定，本项目采用最高限价方式报价。</w:t>
            </w:r>
          </w:p>
          <w:p w14:paraId="7565F200">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最高限价如下：</w:t>
            </w:r>
          </w:p>
          <w:p w14:paraId="6301D1EC">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受托管理费：年提取额不高于受托管理企业年金基金财产净值的0.18%</w:t>
            </w:r>
          </w:p>
          <w:p w14:paraId="57DF488A">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其他相关费用：</w:t>
            </w:r>
          </w:p>
          <w:p w14:paraId="2BEEAF00">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账户管理费：每户每月不超过2.5元人民币</w:t>
            </w:r>
          </w:p>
          <w:p w14:paraId="7EBC56CE">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托管管理费：年提取额不高于受托管理企业年金财产净值的0.18</w:t>
            </w:r>
          </w:p>
          <w:p w14:paraId="4901D0A5">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投资管理费：年提取额不高于受托管理企业年金财产净值的0.8%（综合）；不含权益类0.5%，含权益类0.8%。</w:t>
            </w:r>
            <w:bookmarkEnd w:id="6"/>
            <w:bookmarkEnd w:id="7"/>
          </w:p>
        </w:tc>
      </w:tr>
    </w:tbl>
    <w:p w14:paraId="220E2859">
      <w:pPr>
        <w:pStyle w:val="16"/>
        <w:spacing w:after="0" w:line="560" w:lineRule="exact"/>
        <w:ind w:left="431"/>
      </w:pPr>
      <w:r>
        <w:rPr>
          <w:rFonts w:hint="eastAsia" w:ascii="仿宋" w:hAnsi="仿宋" w:eastAsia="仿宋"/>
          <w:bCs/>
          <w:color w:val="000000" w:themeColor="text1"/>
          <w:sz w:val="28"/>
          <w:szCs w:val="28"/>
          <w14:textFill>
            <w14:solidFill>
              <w14:schemeClr w14:val="tx1"/>
            </w14:solidFill>
          </w14:textFill>
        </w:rPr>
        <w:t>合同履行期限：</w:t>
      </w:r>
      <w:bookmarkStart w:id="8" w:name="OLE_LINK10"/>
      <w:bookmarkStart w:id="9" w:name="OLE_LINK9"/>
      <w:r>
        <w:rPr>
          <w:rFonts w:hint="eastAsia" w:ascii="仿宋" w:hAnsi="仿宋" w:eastAsia="仿宋"/>
          <w:bCs/>
          <w:color w:val="000000" w:themeColor="text1"/>
          <w:sz w:val="28"/>
          <w:szCs w:val="28"/>
          <w14:textFill>
            <w14:solidFill>
              <w14:schemeClr w14:val="tx1"/>
            </w14:solidFill>
          </w14:textFill>
        </w:rPr>
        <w:t>自加入集合计划后三年</w:t>
      </w:r>
      <w:bookmarkEnd w:id="8"/>
      <w:bookmarkEnd w:id="9"/>
      <w:r>
        <w:rPr>
          <w:rFonts w:hint="eastAsia" w:ascii="仿宋" w:hAnsi="仿宋" w:eastAsia="仿宋"/>
          <w:bCs/>
          <w:color w:val="000000" w:themeColor="text1"/>
          <w:sz w:val="28"/>
          <w:szCs w:val="28"/>
          <w14:textFill>
            <w14:solidFill>
              <w14:schemeClr w14:val="tx1"/>
            </w14:solidFill>
          </w14:textFill>
        </w:rPr>
        <w:t>。</w:t>
      </w:r>
    </w:p>
    <w:p w14:paraId="596F6160">
      <w:pPr>
        <w:pStyle w:val="16"/>
        <w:spacing w:after="0" w:line="560" w:lineRule="exact"/>
        <w:ind w:left="43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本项目是否接受联合体投标：否</w:t>
      </w:r>
    </w:p>
    <w:p w14:paraId="24AE9311">
      <w:pPr>
        <w:pStyle w:val="3"/>
        <w:spacing w:line="520" w:lineRule="exact"/>
        <w:ind w:firstLine="562"/>
      </w:pPr>
      <w:r>
        <w:rPr>
          <w:rFonts w:hint="eastAsia"/>
        </w:rPr>
        <w:t>二、投标人的资格要求</w:t>
      </w:r>
    </w:p>
    <w:p w14:paraId="5DE33ECB">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bookmarkStart w:id="10" w:name="OLE_LINK12"/>
      <w:bookmarkStart w:id="11" w:name="OLE_LINK11"/>
      <w:r>
        <w:rPr>
          <w:rFonts w:hint="eastAsia" w:ascii="仿宋" w:hAnsi="仿宋" w:eastAsia="仿宋"/>
          <w:bCs/>
          <w:color w:val="000000" w:themeColor="text1"/>
          <w:sz w:val="28"/>
          <w:szCs w:val="28"/>
          <w14:textFill>
            <w14:solidFill>
              <w14:schemeClr w14:val="tx1"/>
            </w14:solidFill>
          </w14:textFill>
        </w:rPr>
        <w:t>（一）具有独立承担民事责任能力的；</w:t>
      </w:r>
    </w:p>
    <w:p w14:paraId="71ECCDC1">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（二）具有良好的商业信誉和健全的财务会计制度的；</w:t>
      </w:r>
    </w:p>
    <w:p w14:paraId="249E676A">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（三）具有履行合同所必需的设备和专业技术能力的；</w:t>
      </w:r>
    </w:p>
    <w:p w14:paraId="6BF2228D">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（四）有依法缴纳税收和社会保障资金良好记录的；</w:t>
      </w:r>
    </w:p>
    <w:p w14:paraId="43245B48">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（五）参加采购活动前三年内，在经营活动中没有重大违法记录的；(如投标人成立不足三年的，从成立之日起算)</w:t>
      </w:r>
    </w:p>
    <w:p w14:paraId="64CEADE6">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（六）未被列入中国政府采购网（www.ccgp.gov.cn）“政府采购严重违法失信行为记录名单”、信用中国网（www.creditchina.gov.cn） “失信被执行人”“重大税收违法案件当事人名单（重大税收违法失信主体）”“政府采购严重违法失信行为记录名单”的。</w:t>
      </w:r>
    </w:p>
    <w:p w14:paraId="36B0F55E">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（七）本项目须满足的特定条件（受托人）：</w:t>
      </w:r>
    </w:p>
    <w:p w14:paraId="52D23986">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经国家金融监管部门批准，在中国境内注册的独立法人；</w:t>
      </w:r>
    </w:p>
    <w:p w14:paraId="65F5A4CA">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具有完善的法人治理结构；</w:t>
      </w:r>
    </w:p>
    <w:p w14:paraId="1BBFD4CB">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取得企业年金基金从业资格的专职人员达到规定人数；</w:t>
      </w:r>
    </w:p>
    <w:p w14:paraId="29532971">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具有符合要求的营业场所、安全防范设施和与企业年金计划受托管理业务有关的其他设施；</w:t>
      </w:r>
    </w:p>
    <w:p w14:paraId="7669A8A4">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具有完善的内部稽核监控制度和风险控制制度；</w:t>
      </w:r>
    </w:p>
    <w:p w14:paraId="4E779E8D">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近3年没有重大违法违规行为；</w:t>
      </w:r>
    </w:p>
    <w:p w14:paraId="5E0A748B">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 xml:space="preserve">具备企业年金法人受托管理资质； </w:t>
      </w:r>
    </w:p>
    <w:p w14:paraId="5225D2DC">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国家规定的其他条件。</w:t>
      </w:r>
    </w:p>
    <w:bookmarkEnd w:id="10"/>
    <w:bookmarkEnd w:id="11"/>
    <w:p w14:paraId="4CD10DB8">
      <w:pPr>
        <w:pStyle w:val="2"/>
        <w:jc w:val="both"/>
        <w:rPr>
          <w:rFonts w:hint="eastAsia"/>
        </w:rPr>
      </w:pPr>
      <w:bookmarkStart w:id="12" w:name="_Toc204689870"/>
    </w:p>
    <w:p w14:paraId="29BEA36B">
      <w:pPr>
        <w:rPr>
          <w:rFonts w:hint="eastAsia"/>
        </w:rPr>
      </w:pPr>
    </w:p>
    <w:p w14:paraId="7AE6B105">
      <w:pPr>
        <w:rPr>
          <w:rFonts w:hint="eastAsia"/>
        </w:rPr>
      </w:pPr>
    </w:p>
    <w:p w14:paraId="477F7E64">
      <w:pPr>
        <w:pStyle w:val="2"/>
        <w:jc w:val="center"/>
      </w:pPr>
      <w:r>
        <w:rPr>
          <w:rFonts w:hint="eastAsia"/>
        </w:rPr>
        <w:t xml:space="preserve">第一章 </w:t>
      </w:r>
      <w:r>
        <w:t xml:space="preserve"> </w:t>
      </w:r>
      <w:r>
        <w:rPr>
          <w:rFonts w:hint="eastAsia"/>
        </w:rPr>
        <w:t>投标人须知</w:t>
      </w:r>
      <w:bookmarkEnd w:id="12"/>
    </w:p>
    <w:p w14:paraId="1DAF10C0">
      <w:pPr>
        <w:pStyle w:val="3"/>
        <w:ind w:firstLine="480"/>
        <w:rPr>
          <w:rFonts w:ascii="宋体" w:hAnsi="宋体" w:cstheme="minorBidi"/>
          <w:b w:val="0"/>
          <w:bCs/>
          <w:sz w:val="24"/>
          <w:szCs w:val="24"/>
        </w:rPr>
      </w:pPr>
      <w:bookmarkStart w:id="13" w:name="_Toc204689871"/>
      <w:r>
        <w:rPr>
          <w:rFonts w:hint="eastAsia" w:ascii="宋体" w:hAnsi="宋体" w:cstheme="minorBidi"/>
          <w:b w:val="0"/>
          <w:bCs/>
          <w:sz w:val="24"/>
          <w:szCs w:val="24"/>
        </w:rPr>
        <w:t>投标人须知前附表</w:t>
      </w:r>
      <w:bookmarkEnd w:id="13"/>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726"/>
        <w:gridCol w:w="5787"/>
      </w:tblGrid>
      <w:tr w14:paraId="1079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595" w:type="pct"/>
          </w:tcPr>
          <w:p w14:paraId="0540CE74">
            <w:pPr>
              <w:pStyle w:val="16"/>
              <w:spacing w:after="0" w:line="400" w:lineRule="exact"/>
              <w:ind w:left="0"/>
              <w:jc w:val="center"/>
              <w:rPr>
                <w:rFonts w:ascii="仿宋" w:hAnsi="仿宋" w:eastAsia="仿宋"/>
                <w:b/>
                <w:bCs/>
                <w:color w:val="000000" w:themeColor="text1"/>
                <w:sz w:val="24"/>
                <w14:textFill>
                  <w14:solidFill>
                    <w14:schemeClr w14:val="tx1"/>
                  </w14:solidFill>
                </w14:textFill>
              </w:rPr>
            </w:pPr>
            <w:bookmarkStart w:id="14" w:name="OLE_LINK3"/>
            <w:bookmarkStart w:id="15" w:name="OLE_LINK4"/>
            <w:r>
              <w:rPr>
                <w:rFonts w:hint="eastAsia" w:ascii="仿宋" w:hAnsi="仿宋" w:eastAsia="仿宋"/>
                <w:b/>
                <w:bCs/>
                <w:color w:val="000000" w:themeColor="text1"/>
                <w:sz w:val="24"/>
                <w14:textFill>
                  <w14:solidFill>
                    <w14:schemeClr w14:val="tx1"/>
                  </w14:solidFill>
                </w14:textFill>
              </w:rPr>
              <w:t>序号</w:t>
            </w:r>
          </w:p>
        </w:tc>
        <w:tc>
          <w:tcPr>
            <w:tcW w:w="1012" w:type="pct"/>
          </w:tcPr>
          <w:p w14:paraId="223CEDCB">
            <w:pPr>
              <w:pStyle w:val="16"/>
              <w:spacing w:after="0" w:line="400" w:lineRule="exact"/>
              <w:ind w:lef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项目</w:t>
            </w:r>
          </w:p>
        </w:tc>
        <w:tc>
          <w:tcPr>
            <w:tcW w:w="3393" w:type="pct"/>
          </w:tcPr>
          <w:p w14:paraId="167B3A53">
            <w:pPr>
              <w:pStyle w:val="16"/>
              <w:spacing w:after="0" w:line="400" w:lineRule="exact"/>
              <w:ind w:lef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内容</w:t>
            </w:r>
          </w:p>
        </w:tc>
      </w:tr>
      <w:tr w14:paraId="45A6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14505B92">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一</w:t>
            </w:r>
          </w:p>
        </w:tc>
        <w:tc>
          <w:tcPr>
            <w:tcW w:w="1012" w:type="pct"/>
            <w:vAlign w:val="center"/>
          </w:tcPr>
          <w:p w14:paraId="69D5A263">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采购人</w:t>
            </w:r>
          </w:p>
        </w:tc>
        <w:tc>
          <w:tcPr>
            <w:tcW w:w="3393" w:type="pct"/>
          </w:tcPr>
          <w:p w14:paraId="0143B815">
            <w:pPr>
              <w:widowControl/>
              <w:snapToGrid w:val="0"/>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名</w:t>
            </w:r>
            <w:r>
              <w:rPr>
                <w:rFonts w:hint="eastAsia" w:ascii="仿宋" w:hAnsi="仿宋" w:eastAsia="仿宋"/>
                <w:bCs/>
                <w:color w:val="000000" w:themeColor="text1"/>
                <w:sz w:val="24"/>
                <w14:textFill>
                  <w14:solidFill>
                    <w14:schemeClr w14:val="tx1"/>
                  </w14:solidFill>
                </w14:textFill>
              </w:rPr>
              <w:t xml:space="preserve">  </w:t>
            </w:r>
            <w:r>
              <w:rPr>
                <w:rFonts w:ascii="仿宋" w:hAnsi="仿宋" w:eastAsia="仿宋"/>
                <w:bCs/>
                <w:color w:val="000000" w:themeColor="text1"/>
                <w:sz w:val="24"/>
                <w14:textFill>
                  <w14:solidFill>
                    <w14:schemeClr w14:val="tx1"/>
                  </w14:solidFill>
                </w14:textFill>
              </w:rPr>
              <w:t>称：</w:t>
            </w:r>
            <w:r>
              <w:rPr>
                <w:rFonts w:hint="eastAsia" w:ascii="仿宋" w:hAnsi="仿宋" w:eastAsia="仿宋"/>
                <w:bCs/>
                <w:color w:val="000000" w:themeColor="text1"/>
                <w:sz w:val="24"/>
                <w14:textFill>
                  <w14:solidFill>
                    <w14:schemeClr w14:val="tx1"/>
                  </w14:solidFill>
                </w14:textFill>
              </w:rPr>
              <w:t>赤峰市医院</w:t>
            </w:r>
          </w:p>
          <w:p w14:paraId="1DF9B0E2">
            <w:pPr>
              <w:widowControl/>
              <w:snapToGrid w:val="0"/>
              <w:spacing w:after="0" w:line="400" w:lineRule="exact"/>
              <w:ind w:firstLine="480" w:firstLineChars="200"/>
              <w:rPr>
                <w:rFonts w:ascii="仿宋" w:hAnsi="仿宋" w:eastAsia="仿宋"/>
                <w:bCs/>
                <w:color w:val="FF0000"/>
                <w:sz w:val="24"/>
              </w:rPr>
            </w:pPr>
            <w:r>
              <w:rPr>
                <w:rFonts w:ascii="仿宋" w:hAnsi="仿宋" w:eastAsia="仿宋"/>
                <w:bCs/>
                <w:color w:val="FF0000"/>
                <w:sz w:val="24"/>
              </w:rPr>
              <w:t>地</w:t>
            </w:r>
            <w:r>
              <w:rPr>
                <w:rFonts w:hint="eastAsia" w:ascii="仿宋" w:hAnsi="仿宋" w:eastAsia="仿宋"/>
                <w:bCs/>
                <w:color w:val="FF0000"/>
                <w:sz w:val="24"/>
              </w:rPr>
              <w:t xml:space="preserve">  </w:t>
            </w:r>
            <w:r>
              <w:rPr>
                <w:rFonts w:ascii="仿宋" w:hAnsi="仿宋" w:eastAsia="仿宋"/>
                <w:bCs/>
                <w:color w:val="FF0000"/>
                <w:sz w:val="24"/>
              </w:rPr>
              <w:t>址：</w:t>
            </w:r>
            <w:r>
              <w:rPr>
                <w:rFonts w:hint="eastAsia" w:ascii="仿宋" w:hAnsi="仿宋" w:eastAsia="仿宋"/>
                <w:bCs/>
                <w:color w:val="FF0000"/>
                <w:sz w:val="24"/>
              </w:rPr>
              <w:t>赤峰市红山区长青街</w:t>
            </w:r>
            <w:r>
              <w:rPr>
                <w:rFonts w:ascii="仿宋" w:hAnsi="仿宋" w:eastAsia="仿宋"/>
                <w:bCs/>
                <w:color w:val="FF0000"/>
                <w:sz w:val="24"/>
              </w:rPr>
              <w:t>152号</w:t>
            </w:r>
          </w:p>
          <w:p w14:paraId="0F038ADF">
            <w:pPr>
              <w:widowControl/>
              <w:snapToGrid w:val="0"/>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联系人</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王老师</w:t>
            </w:r>
          </w:p>
          <w:p w14:paraId="43C3B291">
            <w:pPr>
              <w:pStyle w:val="16"/>
              <w:spacing w:after="0" w:line="400" w:lineRule="exact"/>
              <w:ind w:left="0"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电  话</w:t>
            </w:r>
            <w:r>
              <w:rPr>
                <w:rFonts w:ascii="仿宋" w:hAnsi="仿宋" w:eastAsia="仿宋"/>
                <w:bCs/>
                <w:color w:val="000000" w:themeColor="text1"/>
                <w:sz w:val="24"/>
                <w14:textFill>
                  <w14:solidFill>
                    <w14:schemeClr w14:val="tx1"/>
                  </w14:solidFill>
                </w14:textFill>
              </w:rPr>
              <w:t>：0476-8890631</w:t>
            </w:r>
          </w:p>
        </w:tc>
      </w:tr>
      <w:tr w14:paraId="03E7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136BDA24">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w:t>
            </w:r>
          </w:p>
        </w:tc>
        <w:tc>
          <w:tcPr>
            <w:tcW w:w="1012" w:type="pct"/>
            <w:vAlign w:val="center"/>
          </w:tcPr>
          <w:p w14:paraId="2B9C4AEE">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采购代理机构</w:t>
            </w:r>
          </w:p>
        </w:tc>
        <w:tc>
          <w:tcPr>
            <w:tcW w:w="3393" w:type="pct"/>
          </w:tcPr>
          <w:p w14:paraId="24389BB9">
            <w:pPr>
              <w:widowControl/>
              <w:snapToGrid w:val="0"/>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名称：北京明世继元招标有限公司</w:t>
            </w:r>
          </w:p>
          <w:p w14:paraId="2ABACA12">
            <w:pPr>
              <w:widowControl/>
              <w:snapToGrid w:val="0"/>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地址：北京市西城区马连道路11号一商大厦1607</w:t>
            </w:r>
          </w:p>
          <w:p w14:paraId="5AE6E16A">
            <w:pPr>
              <w:widowControl/>
              <w:snapToGrid w:val="0"/>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 xml:space="preserve">联系人：张秋月 </w:t>
            </w:r>
            <w:r>
              <w:rPr>
                <w:rFonts w:ascii="仿宋" w:hAnsi="仿宋" w:eastAsia="仿宋"/>
                <w:bCs/>
                <w:color w:val="000000" w:themeColor="text1"/>
                <w:sz w:val="24"/>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许盈盈</w:t>
            </w:r>
          </w:p>
          <w:p w14:paraId="25F35A9D">
            <w:pPr>
              <w:pStyle w:val="16"/>
              <w:spacing w:after="0" w:line="400" w:lineRule="exact"/>
              <w:ind w:left="0"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电  话：</w:t>
            </w:r>
            <w:r>
              <w:rPr>
                <w:rFonts w:ascii="仿宋" w:hAnsi="仿宋" w:eastAsia="仿宋"/>
                <w:bCs/>
                <w:color w:val="000000" w:themeColor="text1"/>
                <w:sz w:val="24"/>
                <w14:textFill>
                  <w14:solidFill>
                    <w14:schemeClr w14:val="tx1"/>
                  </w14:solidFill>
                </w14:textFill>
              </w:rPr>
              <w:t>010-63518887</w:t>
            </w:r>
          </w:p>
        </w:tc>
      </w:tr>
      <w:tr w14:paraId="35D7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76013162">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w:t>
            </w:r>
          </w:p>
        </w:tc>
        <w:tc>
          <w:tcPr>
            <w:tcW w:w="1012" w:type="pct"/>
            <w:vAlign w:val="center"/>
          </w:tcPr>
          <w:p w14:paraId="26D08379">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项目名称</w:t>
            </w:r>
          </w:p>
        </w:tc>
        <w:tc>
          <w:tcPr>
            <w:tcW w:w="3393" w:type="pct"/>
          </w:tcPr>
          <w:p w14:paraId="28509100">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企业年金计划受托管理服务</w:t>
            </w:r>
          </w:p>
        </w:tc>
      </w:tr>
      <w:tr w14:paraId="24D3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25127DAC">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四</w:t>
            </w:r>
          </w:p>
        </w:tc>
        <w:tc>
          <w:tcPr>
            <w:tcW w:w="1012" w:type="pct"/>
            <w:vAlign w:val="center"/>
          </w:tcPr>
          <w:p w14:paraId="516BF4B8">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服务内容</w:t>
            </w:r>
          </w:p>
        </w:tc>
        <w:tc>
          <w:tcPr>
            <w:tcW w:w="3393" w:type="pct"/>
          </w:tcPr>
          <w:p w14:paraId="5897BFFB">
            <w:pPr>
              <w:spacing w:after="0" w:line="400" w:lineRule="exact"/>
              <w:ind w:firstLine="480" w:firstLineChars="200"/>
              <w:rPr>
                <w:rFonts w:ascii="仿宋" w:hAnsi="仿宋" w:eastAsia="仿宋"/>
                <w:bCs/>
                <w:color w:val="000000" w:themeColor="text1"/>
                <w:sz w:val="24"/>
                <w14:textFill>
                  <w14:solidFill>
                    <w14:schemeClr w14:val="tx1"/>
                  </w14:solidFill>
                </w14:textFill>
              </w:rPr>
            </w:pPr>
            <w:bookmarkStart w:id="16" w:name="OLE_LINK14"/>
            <w:bookmarkStart w:id="17" w:name="OLE_LINK13"/>
            <w:r>
              <w:rPr>
                <w:rFonts w:hint="eastAsia" w:ascii="仿宋" w:hAnsi="仿宋" w:eastAsia="仿宋"/>
                <w:bCs/>
                <w:color w:val="000000" w:themeColor="text1"/>
                <w:sz w:val="24"/>
                <w14:textFill>
                  <w14:solidFill>
                    <w14:schemeClr w14:val="tx1"/>
                  </w14:solidFill>
                </w14:textFill>
              </w:rPr>
              <w:t>（一）依法选定具备相应资质符合法律法规的法人机构做为年金基金受托人；</w:t>
            </w:r>
          </w:p>
          <w:p w14:paraId="50ACD873">
            <w:pPr>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（二）受托人依法、合规开展受托年金基金的投资运营管理工作；</w:t>
            </w:r>
          </w:p>
          <w:p w14:paraId="5A47414A">
            <w:pPr>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（三）协助采购人完成其他必要的相关工作</w:t>
            </w:r>
          </w:p>
          <w:p w14:paraId="35980A64">
            <w:pPr>
              <w:spacing w:after="0" w:line="40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注：本年金基金选用集合计划</w:t>
            </w:r>
            <w:bookmarkEnd w:id="16"/>
            <w:bookmarkEnd w:id="17"/>
          </w:p>
        </w:tc>
      </w:tr>
      <w:tr w14:paraId="2BC7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tcPr>
          <w:p w14:paraId="5D011A76">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五</w:t>
            </w:r>
          </w:p>
        </w:tc>
        <w:tc>
          <w:tcPr>
            <w:tcW w:w="1012" w:type="pct"/>
          </w:tcPr>
          <w:p w14:paraId="0E60F5FD">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预算规模</w:t>
            </w:r>
          </w:p>
        </w:tc>
        <w:tc>
          <w:tcPr>
            <w:tcW w:w="3393" w:type="pct"/>
          </w:tcPr>
          <w:p w14:paraId="38C9AB93">
            <w:pPr>
              <w:pStyle w:val="16"/>
              <w:spacing w:after="0" w:line="400" w:lineRule="exact"/>
              <w:ind w:left="0" w:firstLine="240" w:firstLineChars="1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根据实际需求，及当地政策据实结算</w:t>
            </w:r>
          </w:p>
        </w:tc>
      </w:tr>
      <w:tr w14:paraId="635B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1AB2F8C7">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六</w:t>
            </w:r>
          </w:p>
        </w:tc>
        <w:tc>
          <w:tcPr>
            <w:tcW w:w="1012" w:type="pct"/>
            <w:vAlign w:val="center"/>
          </w:tcPr>
          <w:p w14:paraId="5EFEA2B6">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最高限价</w:t>
            </w:r>
          </w:p>
        </w:tc>
        <w:tc>
          <w:tcPr>
            <w:tcW w:w="3393" w:type="pct"/>
          </w:tcPr>
          <w:p w14:paraId="79E2C862">
            <w:pPr>
              <w:pStyle w:val="16"/>
              <w:spacing w:after="0" w:line="360" w:lineRule="exact"/>
              <w:ind w:left="-2" w:leftChars="-8" w:hanging="16" w:hangingChars="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参考《企业年金基金管理办法》第七章及其他规定，本项目采用最高限价方式报价。</w:t>
            </w:r>
          </w:p>
          <w:p w14:paraId="0C2E5602">
            <w:pPr>
              <w:pStyle w:val="16"/>
              <w:spacing w:after="0" w:line="360" w:lineRule="exact"/>
              <w:ind w:left="-2" w:leftChars="-8" w:hanging="16" w:hangingChars="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最高限价如下：</w:t>
            </w:r>
          </w:p>
          <w:p w14:paraId="68A64EAF">
            <w:pPr>
              <w:pStyle w:val="16"/>
              <w:spacing w:after="0" w:line="360" w:lineRule="exact"/>
              <w:ind w:left="-2" w:leftChars="-8" w:hanging="16" w:hangingChars="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受托管理费：年提取额不高于受托管理企业年金基金财产净值的</w:t>
            </w:r>
            <w:r>
              <w:rPr>
                <w:rFonts w:ascii="仿宋" w:hAnsi="仿宋" w:eastAsia="仿宋"/>
                <w:bCs/>
                <w:color w:val="000000" w:themeColor="text1"/>
                <w:sz w:val="24"/>
                <w14:textFill>
                  <w14:solidFill>
                    <w14:schemeClr w14:val="tx1"/>
                  </w14:solidFill>
                </w14:textFill>
              </w:rPr>
              <w:t>0.18%</w:t>
            </w:r>
          </w:p>
          <w:p w14:paraId="4F25861C">
            <w:pPr>
              <w:pStyle w:val="16"/>
              <w:spacing w:after="0" w:line="360" w:lineRule="exact"/>
              <w:ind w:left="-2" w:leftChars="-8" w:hanging="16" w:hangingChars="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其他相关费用：</w:t>
            </w:r>
          </w:p>
          <w:p w14:paraId="6D96C7A5">
            <w:pPr>
              <w:pStyle w:val="16"/>
              <w:spacing w:after="0" w:line="360" w:lineRule="exact"/>
              <w:ind w:left="-2" w:leftChars="-8" w:hanging="16" w:hangingChars="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账户管理费：每户每月不超过</w:t>
            </w:r>
            <w:r>
              <w:rPr>
                <w:rFonts w:ascii="仿宋" w:hAnsi="仿宋" w:eastAsia="仿宋"/>
                <w:bCs/>
                <w:color w:val="000000" w:themeColor="text1"/>
                <w:sz w:val="24"/>
                <w14:textFill>
                  <w14:solidFill>
                    <w14:schemeClr w14:val="tx1"/>
                  </w14:solidFill>
                </w14:textFill>
              </w:rPr>
              <w:t>2.5元人民币</w:t>
            </w:r>
          </w:p>
          <w:p w14:paraId="4C75FF39">
            <w:pPr>
              <w:pStyle w:val="16"/>
              <w:spacing w:after="0" w:line="360" w:lineRule="exact"/>
              <w:ind w:left="-2" w:leftChars="-8" w:hanging="16" w:hangingChars="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托管管理费：年提取额不高于受托管理企业年金财产净值的</w:t>
            </w:r>
            <w:r>
              <w:rPr>
                <w:rFonts w:ascii="仿宋" w:hAnsi="仿宋" w:eastAsia="仿宋"/>
                <w:bCs/>
                <w:color w:val="000000" w:themeColor="text1"/>
                <w:sz w:val="24"/>
                <w14:textFill>
                  <w14:solidFill>
                    <w14:schemeClr w14:val="tx1"/>
                  </w14:solidFill>
                </w14:textFill>
              </w:rPr>
              <w:t>0.18</w:t>
            </w:r>
          </w:p>
          <w:p w14:paraId="69B517B3">
            <w:pPr>
              <w:pStyle w:val="16"/>
              <w:spacing w:after="0" w:line="360" w:lineRule="exact"/>
              <w:ind w:left="-2" w:leftChars="-8" w:hanging="16" w:hangingChars="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投资管理费：年提取额不高于受托管理企业年金财产净值的</w:t>
            </w:r>
            <w:r>
              <w:rPr>
                <w:rFonts w:ascii="仿宋" w:hAnsi="仿宋" w:eastAsia="仿宋"/>
                <w:bCs/>
                <w:color w:val="000000" w:themeColor="text1"/>
                <w:sz w:val="24"/>
                <w14:textFill>
                  <w14:solidFill>
                    <w14:schemeClr w14:val="tx1"/>
                  </w14:solidFill>
                </w14:textFill>
              </w:rPr>
              <w:t>0.8%（综合）；不含权益类0.5%，含权益类0.8%。</w:t>
            </w:r>
          </w:p>
        </w:tc>
      </w:tr>
      <w:tr w14:paraId="750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01930AAF">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七</w:t>
            </w:r>
          </w:p>
        </w:tc>
        <w:tc>
          <w:tcPr>
            <w:tcW w:w="1012" w:type="pct"/>
            <w:vAlign w:val="center"/>
          </w:tcPr>
          <w:p w14:paraId="010D7E7F">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资金来源</w:t>
            </w:r>
          </w:p>
        </w:tc>
        <w:tc>
          <w:tcPr>
            <w:tcW w:w="3393" w:type="pct"/>
          </w:tcPr>
          <w:p w14:paraId="2AA2FC21">
            <w:pPr>
              <w:widowControl/>
              <w:snapToGrid w:val="0"/>
              <w:spacing w:after="0" w:line="40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□财政</w:t>
            </w:r>
            <w:r>
              <w:rPr>
                <w:rFonts w:ascii="仿宋" w:hAnsi="仿宋" w:eastAsia="仿宋"/>
                <w:bCs/>
                <w:color w:val="000000" w:themeColor="text1"/>
                <w:sz w:val="24"/>
                <w14:textFill>
                  <w14:solidFill>
                    <w14:schemeClr w14:val="tx1"/>
                  </w14:solidFill>
                </w14:textFill>
              </w:rPr>
              <w:t>资金</w:t>
            </w:r>
            <w:r>
              <w:rPr>
                <w:rFonts w:hint="eastAsia" w:ascii="仿宋" w:hAnsi="仿宋" w:eastAsia="仿宋"/>
                <w:bCs/>
                <w:color w:val="000000" w:themeColor="text1"/>
                <w:sz w:val="24"/>
                <w14:textFill>
                  <w14:solidFill>
                    <w14:schemeClr w14:val="tx1"/>
                  </w14:solidFill>
                </w14:textFill>
              </w:rPr>
              <w:t>；</w:t>
            </w:r>
          </w:p>
          <w:p w14:paraId="49AF549B">
            <w:pPr>
              <w:widowControl/>
              <w:snapToGrid w:val="0"/>
              <w:spacing w:after="0" w:line="40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□自筹资金；</w:t>
            </w:r>
          </w:p>
          <w:p w14:paraId="7DBA73F9">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ascii="Segoe UI Symbol" w:hAnsi="Segoe UI Symbol" w:eastAsia="仿宋" w:cs="Segoe UI Symbol"/>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其他：</w:t>
            </w:r>
            <w:r>
              <w:rPr>
                <w:rFonts w:ascii="仿宋" w:hAnsi="仿宋" w:eastAsia="仿宋"/>
                <w:bCs/>
                <w:color w:val="000000" w:themeColor="text1"/>
                <w:sz w:val="24"/>
                <w14:textFill>
                  <w14:solidFill>
                    <w14:schemeClr w14:val="tx1"/>
                  </w14:solidFill>
                </w14:textFill>
              </w:rPr>
              <w:t xml:space="preserve"> </w:t>
            </w:r>
          </w:p>
        </w:tc>
      </w:tr>
      <w:tr w14:paraId="358E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6F5D8577">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八</w:t>
            </w:r>
          </w:p>
        </w:tc>
        <w:tc>
          <w:tcPr>
            <w:tcW w:w="1012" w:type="pct"/>
            <w:vAlign w:val="center"/>
          </w:tcPr>
          <w:p w14:paraId="71D60FA7">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投标报价的其他要求</w:t>
            </w:r>
          </w:p>
        </w:tc>
        <w:tc>
          <w:tcPr>
            <w:tcW w:w="3393" w:type="pct"/>
          </w:tcPr>
          <w:p w14:paraId="46DBEBD8">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□有，</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w:t>
            </w:r>
          </w:p>
          <w:p w14:paraId="3C236963">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ascii="Segoe UI Symbol" w:hAnsi="Segoe UI Symbol" w:eastAsia="仿宋" w:cs="Segoe UI Symbol"/>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无</w:t>
            </w:r>
          </w:p>
        </w:tc>
      </w:tr>
      <w:tr w14:paraId="3703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08B00B48">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九</w:t>
            </w:r>
          </w:p>
        </w:tc>
        <w:tc>
          <w:tcPr>
            <w:tcW w:w="1012" w:type="pct"/>
            <w:vAlign w:val="center"/>
          </w:tcPr>
          <w:p w14:paraId="64AD9116">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是否</w:t>
            </w:r>
            <w:r>
              <w:rPr>
                <w:rFonts w:ascii="仿宋" w:hAnsi="仿宋" w:eastAsia="仿宋"/>
                <w:bCs/>
                <w:color w:val="000000" w:themeColor="text1"/>
                <w:sz w:val="24"/>
                <w14:textFill>
                  <w14:solidFill>
                    <w14:schemeClr w14:val="tx1"/>
                  </w14:solidFill>
                </w14:textFill>
              </w:rPr>
              <w:t>接受联合体投标</w:t>
            </w:r>
          </w:p>
        </w:tc>
        <w:tc>
          <w:tcPr>
            <w:tcW w:w="3393" w:type="pct"/>
          </w:tcPr>
          <w:p w14:paraId="2D9C2144">
            <w:pPr>
              <w:pStyle w:val="6"/>
              <w:snapToGrid w:val="0"/>
              <w:spacing w:line="400" w:lineRule="exact"/>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□接受</w:t>
            </w:r>
          </w:p>
          <w:p w14:paraId="71A3E137">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ascii="Segoe UI Symbol" w:hAnsi="Segoe UI Symbol" w:eastAsia="仿宋" w:cs="Segoe UI Symbol"/>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不接受</w:t>
            </w:r>
          </w:p>
        </w:tc>
      </w:tr>
      <w:tr w14:paraId="69EF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5B04E468">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十</w:t>
            </w:r>
          </w:p>
        </w:tc>
        <w:tc>
          <w:tcPr>
            <w:tcW w:w="1012" w:type="pct"/>
            <w:vAlign w:val="center"/>
          </w:tcPr>
          <w:p w14:paraId="65BB3FF2">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★投标有效</w:t>
            </w:r>
            <w:r>
              <w:rPr>
                <w:rFonts w:ascii="仿宋" w:hAnsi="仿宋" w:eastAsia="仿宋"/>
                <w:bCs/>
                <w:color w:val="000000" w:themeColor="text1"/>
                <w:sz w:val="24"/>
                <w14:textFill>
                  <w14:solidFill>
                    <w14:schemeClr w14:val="tx1"/>
                  </w14:solidFill>
                </w14:textFill>
              </w:rPr>
              <w:t>期</w:t>
            </w:r>
          </w:p>
        </w:tc>
        <w:tc>
          <w:tcPr>
            <w:tcW w:w="3393" w:type="pct"/>
          </w:tcPr>
          <w:p w14:paraId="5B9122C5">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递交投标文件</w:t>
            </w:r>
            <w:r>
              <w:rPr>
                <w:rFonts w:ascii="仿宋" w:hAnsi="仿宋" w:eastAsia="仿宋"/>
                <w:bCs/>
                <w:color w:val="000000" w:themeColor="text1"/>
                <w:sz w:val="24"/>
                <w14:textFill>
                  <w14:solidFill>
                    <w14:schemeClr w14:val="tx1"/>
                  </w14:solidFill>
                </w14:textFill>
              </w:rPr>
              <w:t>的截止</w:t>
            </w:r>
            <w:r>
              <w:rPr>
                <w:rFonts w:hint="eastAsia" w:ascii="仿宋" w:hAnsi="仿宋" w:eastAsia="仿宋"/>
                <w:bCs/>
                <w:color w:val="000000" w:themeColor="text1"/>
                <w:sz w:val="24"/>
                <w14:textFill>
                  <w14:solidFill>
                    <w14:schemeClr w14:val="tx1"/>
                  </w14:solidFill>
                </w14:textFill>
              </w:rPr>
              <w:t>之日起9</w:t>
            </w:r>
            <w:r>
              <w:rPr>
                <w:rFonts w:ascii="仿宋" w:hAnsi="仿宋" w:eastAsia="仿宋"/>
                <w:bCs/>
                <w:color w:val="000000" w:themeColor="text1"/>
                <w:sz w:val="24"/>
                <w14:textFill>
                  <w14:solidFill>
                    <w14:schemeClr w14:val="tx1"/>
                  </w14:solidFill>
                </w14:textFill>
              </w:rPr>
              <w:t>0</w:t>
            </w:r>
            <w:r>
              <w:rPr>
                <w:rFonts w:hint="eastAsia" w:ascii="仿宋" w:hAnsi="仿宋" w:eastAsia="仿宋"/>
                <w:bCs/>
                <w:color w:val="000000" w:themeColor="text1"/>
                <w:sz w:val="24"/>
                <w14:textFill>
                  <w14:solidFill>
                    <w14:schemeClr w14:val="tx1"/>
                  </w14:solidFill>
                </w14:textFill>
              </w:rPr>
              <w:t>个日历日。</w:t>
            </w:r>
          </w:p>
        </w:tc>
      </w:tr>
      <w:tr w14:paraId="733D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66E5894B">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十一</w:t>
            </w:r>
          </w:p>
        </w:tc>
        <w:tc>
          <w:tcPr>
            <w:tcW w:w="1012" w:type="pct"/>
            <w:vAlign w:val="center"/>
          </w:tcPr>
          <w:p w14:paraId="0ED0FE8E">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递交投标文件截止时间</w:t>
            </w:r>
          </w:p>
        </w:tc>
        <w:tc>
          <w:tcPr>
            <w:tcW w:w="3393" w:type="pct"/>
          </w:tcPr>
          <w:p w14:paraId="02C24E2E">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2025年0x月xx日</w:t>
            </w:r>
            <w:r>
              <w:rPr>
                <w:rFonts w:ascii="仿宋" w:hAnsi="仿宋" w:eastAsia="仿宋"/>
                <w:bCs/>
                <w:color w:val="000000" w:themeColor="text1"/>
                <w:sz w:val="24"/>
                <w14:textFill>
                  <w14:solidFill>
                    <w14:schemeClr w14:val="tx1"/>
                  </w14:solidFill>
                </w14:textFill>
              </w:rPr>
              <w:t>09</w:t>
            </w:r>
            <w:r>
              <w:rPr>
                <w:rFonts w:hint="eastAsia" w:ascii="仿宋" w:hAnsi="仿宋" w:eastAsia="仿宋"/>
                <w:bCs/>
                <w:color w:val="000000" w:themeColor="text1"/>
                <w:sz w:val="24"/>
                <w14:textFill>
                  <w14:solidFill>
                    <w14:schemeClr w14:val="tx1"/>
                  </w14:solidFill>
                </w14:textFill>
              </w:rPr>
              <w:t>:</w:t>
            </w:r>
            <w:r>
              <w:rPr>
                <w:rFonts w:ascii="仿宋" w:hAnsi="仿宋" w:eastAsia="仿宋"/>
                <w:bCs/>
                <w:color w:val="000000" w:themeColor="text1"/>
                <w:sz w:val="24"/>
                <w14:textFill>
                  <w14:solidFill>
                    <w14:schemeClr w14:val="tx1"/>
                  </w14:solidFill>
                </w14:textFill>
              </w:rPr>
              <w:t>30</w:t>
            </w:r>
            <w:r>
              <w:rPr>
                <w:rFonts w:hint="eastAsia" w:ascii="仿宋" w:hAnsi="仿宋" w:eastAsia="仿宋"/>
                <w:bCs/>
                <w:color w:val="000000" w:themeColor="text1"/>
                <w:sz w:val="24"/>
                <w14:textFill>
                  <w14:solidFill>
                    <w14:schemeClr w14:val="tx1"/>
                  </w14:solidFill>
                </w14:textFill>
              </w:rPr>
              <w:t>（北京时间）</w:t>
            </w:r>
          </w:p>
        </w:tc>
      </w:tr>
      <w:tr w14:paraId="28C5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34FDEAEC">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十二</w:t>
            </w:r>
          </w:p>
        </w:tc>
        <w:tc>
          <w:tcPr>
            <w:tcW w:w="1012" w:type="pct"/>
            <w:vAlign w:val="center"/>
          </w:tcPr>
          <w:p w14:paraId="0C2A1E3A">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递交投标文件地点</w:t>
            </w:r>
          </w:p>
        </w:tc>
        <w:tc>
          <w:tcPr>
            <w:tcW w:w="3393" w:type="pct"/>
          </w:tcPr>
          <w:p w14:paraId="46D65D47">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北京市西城区马连道路11号一商大厦1601</w:t>
            </w:r>
          </w:p>
        </w:tc>
      </w:tr>
      <w:tr w14:paraId="6234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067913C6">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十三</w:t>
            </w:r>
          </w:p>
        </w:tc>
        <w:tc>
          <w:tcPr>
            <w:tcW w:w="1012" w:type="pct"/>
            <w:vAlign w:val="center"/>
          </w:tcPr>
          <w:p w14:paraId="6DF83C4A">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开标时间</w:t>
            </w:r>
          </w:p>
        </w:tc>
        <w:tc>
          <w:tcPr>
            <w:tcW w:w="3393" w:type="pct"/>
          </w:tcPr>
          <w:p w14:paraId="672DC6E9">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2025年0x月xx日</w:t>
            </w:r>
            <w:r>
              <w:rPr>
                <w:rFonts w:ascii="仿宋" w:hAnsi="仿宋" w:eastAsia="仿宋"/>
                <w:bCs/>
                <w:color w:val="000000" w:themeColor="text1"/>
                <w:sz w:val="24"/>
                <w14:textFill>
                  <w14:solidFill>
                    <w14:schemeClr w14:val="tx1"/>
                  </w14:solidFill>
                </w14:textFill>
              </w:rPr>
              <w:t>09</w:t>
            </w:r>
            <w:r>
              <w:rPr>
                <w:rFonts w:hint="eastAsia" w:ascii="仿宋" w:hAnsi="仿宋" w:eastAsia="仿宋"/>
                <w:bCs/>
                <w:color w:val="000000" w:themeColor="text1"/>
                <w:sz w:val="24"/>
                <w14:textFill>
                  <w14:solidFill>
                    <w14:schemeClr w14:val="tx1"/>
                  </w14:solidFill>
                </w14:textFill>
              </w:rPr>
              <w:t>:</w:t>
            </w:r>
            <w:r>
              <w:rPr>
                <w:rFonts w:ascii="仿宋" w:hAnsi="仿宋" w:eastAsia="仿宋"/>
                <w:bCs/>
                <w:color w:val="000000" w:themeColor="text1"/>
                <w:sz w:val="24"/>
                <w14:textFill>
                  <w14:solidFill>
                    <w14:schemeClr w14:val="tx1"/>
                  </w14:solidFill>
                </w14:textFill>
              </w:rPr>
              <w:t>30</w:t>
            </w:r>
            <w:r>
              <w:rPr>
                <w:rFonts w:hint="eastAsia" w:ascii="仿宋" w:hAnsi="仿宋" w:eastAsia="仿宋"/>
                <w:bCs/>
                <w:color w:val="000000" w:themeColor="text1"/>
                <w:sz w:val="24"/>
                <w14:textFill>
                  <w14:solidFill>
                    <w14:schemeClr w14:val="tx1"/>
                  </w14:solidFill>
                </w14:textFill>
              </w:rPr>
              <w:t>（北京时间）</w:t>
            </w:r>
          </w:p>
        </w:tc>
      </w:tr>
      <w:tr w14:paraId="28AC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6A88546A">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十四</w:t>
            </w:r>
          </w:p>
        </w:tc>
        <w:tc>
          <w:tcPr>
            <w:tcW w:w="1012" w:type="pct"/>
            <w:vAlign w:val="center"/>
          </w:tcPr>
          <w:p w14:paraId="0B1B54A8">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开标地点</w:t>
            </w:r>
          </w:p>
        </w:tc>
        <w:tc>
          <w:tcPr>
            <w:tcW w:w="3393" w:type="pct"/>
          </w:tcPr>
          <w:p w14:paraId="328B64F5">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北京市西城区马连道路11号一商大厦1601</w:t>
            </w:r>
          </w:p>
        </w:tc>
      </w:tr>
      <w:tr w14:paraId="403C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3ACFABBB">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十五</w:t>
            </w:r>
          </w:p>
        </w:tc>
        <w:tc>
          <w:tcPr>
            <w:tcW w:w="1012" w:type="pct"/>
            <w:vAlign w:val="center"/>
          </w:tcPr>
          <w:p w14:paraId="4BFC07B0">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标前</w:t>
            </w:r>
            <w:r>
              <w:rPr>
                <w:rFonts w:ascii="仿宋" w:hAnsi="仿宋" w:eastAsia="仿宋"/>
                <w:bCs/>
                <w:color w:val="000000" w:themeColor="text1"/>
                <w:sz w:val="24"/>
                <w14:textFill>
                  <w14:solidFill>
                    <w14:schemeClr w14:val="tx1"/>
                  </w14:solidFill>
                </w14:textFill>
              </w:rPr>
              <w:t>答疑会</w:t>
            </w:r>
          </w:p>
        </w:tc>
        <w:tc>
          <w:tcPr>
            <w:tcW w:w="3393" w:type="pct"/>
          </w:tcPr>
          <w:p w14:paraId="63052C80">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□组织，</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w:t>
            </w:r>
          </w:p>
          <w:p w14:paraId="1EBFD437">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ascii="Segoe UI Symbol" w:hAnsi="Segoe UI Symbol" w:eastAsia="仿宋" w:cs="Segoe UI Symbol"/>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不组织</w:t>
            </w:r>
          </w:p>
        </w:tc>
      </w:tr>
      <w:tr w14:paraId="1238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06804FA6">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十六</w:t>
            </w:r>
          </w:p>
        </w:tc>
        <w:tc>
          <w:tcPr>
            <w:tcW w:w="1012" w:type="pct"/>
            <w:vAlign w:val="center"/>
          </w:tcPr>
          <w:p w14:paraId="037C345A">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现场踏勘</w:t>
            </w:r>
          </w:p>
        </w:tc>
        <w:tc>
          <w:tcPr>
            <w:tcW w:w="3393" w:type="pct"/>
          </w:tcPr>
          <w:p w14:paraId="06EBC172">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□组织，</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w:t>
            </w:r>
          </w:p>
          <w:p w14:paraId="4EF11824">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ascii="Segoe UI Symbol" w:hAnsi="Segoe UI Symbol" w:eastAsia="仿宋" w:cs="Segoe UI Symbol"/>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不组织</w:t>
            </w:r>
          </w:p>
        </w:tc>
      </w:tr>
      <w:tr w14:paraId="5F35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5C6FCBC7">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十七</w:t>
            </w:r>
          </w:p>
        </w:tc>
        <w:tc>
          <w:tcPr>
            <w:tcW w:w="1012" w:type="pct"/>
            <w:vAlign w:val="center"/>
          </w:tcPr>
          <w:p w14:paraId="47E988BA">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招标文件</w:t>
            </w:r>
            <w:r>
              <w:rPr>
                <w:rFonts w:ascii="仿宋" w:hAnsi="仿宋" w:eastAsia="仿宋"/>
                <w:bCs/>
                <w:color w:val="000000" w:themeColor="text1"/>
                <w:sz w:val="24"/>
                <w14:textFill>
                  <w14:solidFill>
                    <w14:schemeClr w14:val="tx1"/>
                  </w14:solidFill>
                </w14:textFill>
              </w:rPr>
              <w:t>澄清</w:t>
            </w:r>
            <w:r>
              <w:rPr>
                <w:rFonts w:hint="eastAsia" w:ascii="仿宋" w:hAnsi="仿宋" w:eastAsia="仿宋"/>
                <w:bCs/>
                <w:color w:val="000000" w:themeColor="text1"/>
                <w:sz w:val="24"/>
                <w14:textFill>
                  <w14:solidFill>
                    <w14:schemeClr w14:val="tx1"/>
                  </w14:solidFill>
                </w14:textFill>
              </w:rPr>
              <w:t>或</w:t>
            </w:r>
            <w:r>
              <w:rPr>
                <w:rFonts w:ascii="仿宋" w:hAnsi="仿宋" w:eastAsia="仿宋"/>
                <w:bCs/>
                <w:color w:val="000000" w:themeColor="text1"/>
                <w:sz w:val="24"/>
                <w14:textFill>
                  <w14:solidFill>
                    <w14:schemeClr w14:val="tx1"/>
                  </w14:solidFill>
                </w14:textFill>
              </w:rPr>
              <w:t>修改</w:t>
            </w:r>
          </w:p>
        </w:tc>
        <w:tc>
          <w:tcPr>
            <w:tcW w:w="3393" w:type="pct"/>
          </w:tcPr>
          <w:p w14:paraId="49D52C1D">
            <w:pPr>
              <w:pStyle w:val="6"/>
              <w:snapToGrid w:val="0"/>
              <w:spacing w:line="400" w:lineRule="exact"/>
              <w:ind w:firstLine="480" w:firstLineChars="200"/>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如有，将在</w:t>
            </w:r>
            <w:r>
              <w:rPr>
                <w:rFonts w:ascii="仿宋" w:hAnsi="仿宋"/>
                <w:bCs/>
                <w:color w:val="000000" w:themeColor="text1"/>
                <w14:textFill>
                  <w14:solidFill>
                    <w14:schemeClr w14:val="tx1"/>
                  </w14:solidFill>
                </w14:textFill>
              </w:rPr>
              <w:t>原公告发布媒体上发布澄清公告，澄清或者修改的内容为招标文件的组成部分。</w:t>
            </w:r>
          </w:p>
          <w:p w14:paraId="652F35F0">
            <w:pPr>
              <w:pStyle w:val="16"/>
              <w:spacing w:after="0" w:line="40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以书面形式通知所有获取招标文件的潜在投标人。</w:t>
            </w:r>
          </w:p>
        </w:tc>
      </w:tr>
      <w:tr w14:paraId="14EF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5B2EBF17">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十八</w:t>
            </w:r>
          </w:p>
        </w:tc>
        <w:tc>
          <w:tcPr>
            <w:tcW w:w="1012" w:type="pct"/>
            <w:vAlign w:val="center"/>
          </w:tcPr>
          <w:p w14:paraId="2B65CBF8">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w:t>
            </w:r>
            <w:r>
              <w:rPr>
                <w:rFonts w:ascii="仿宋" w:hAnsi="仿宋" w:eastAsia="仿宋"/>
                <w:bCs/>
                <w:color w:val="000000" w:themeColor="text1"/>
                <w:sz w:val="24"/>
                <w14:textFill>
                  <w14:solidFill>
                    <w14:schemeClr w14:val="tx1"/>
                  </w14:solidFill>
                </w14:textFill>
              </w:rPr>
              <w:t>确认收到</w:t>
            </w:r>
            <w:r>
              <w:rPr>
                <w:rFonts w:hint="eastAsia" w:ascii="仿宋" w:hAnsi="仿宋" w:eastAsia="仿宋"/>
                <w:bCs/>
                <w:color w:val="000000" w:themeColor="text1"/>
                <w:sz w:val="24"/>
                <w14:textFill>
                  <w14:solidFill>
                    <w14:schemeClr w14:val="tx1"/>
                  </w14:solidFill>
                </w14:textFill>
              </w:rPr>
              <w:t>招标</w:t>
            </w:r>
            <w:r>
              <w:rPr>
                <w:rFonts w:ascii="仿宋" w:hAnsi="仿宋" w:eastAsia="仿宋"/>
                <w:bCs/>
                <w:color w:val="000000" w:themeColor="text1"/>
                <w:sz w:val="24"/>
                <w14:textFill>
                  <w14:solidFill>
                    <w14:schemeClr w14:val="tx1"/>
                  </w14:solidFill>
                </w14:textFill>
              </w:rPr>
              <w:t>文件澄清或修改</w:t>
            </w:r>
            <w:r>
              <w:rPr>
                <w:rFonts w:hint="eastAsia" w:ascii="仿宋" w:hAnsi="仿宋" w:eastAsia="仿宋"/>
                <w:bCs/>
                <w:color w:val="000000" w:themeColor="text1"/>
                <w:sz w:val="24"/>
                <w14:textFill>
                  <w14:solidFill>
                    <w14:schemeClr w14:val="tx1"/>
                  </w14:solidFill>
                </w14:textFill>
              </w:rPr>
              <w:t>回复</w:t>
            </w:r>
          </w:p>
        </w:tc>
        <w:tc>
          <w:tcPr>
            <w:tcW w:w="3393" w:type="pct"/>
            <w:vAlign w:val="center"/>
          </w:tcPr>
          <w:p w14:paraId="7B4EB12C">
            <w:pPr>
              <w:pStyle w:val="16"/>
              <w:spacing w:after="0" w:line="400" w:lineRule="exact"/>
              <w:ind w:left="0" w:firstLine="480" w:firstLineChars="200"/>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接到书面通知后一个工作日内</w:t>
            </w:r>
            <w:r>
              <w:rPr>
                <w:rFonts w:hint="eastAsia" w:ascii="仿宋" w:hAnsi="仿宋" w:eastAsia="仿宋"/>
                <w:bCs/>
                <w:color w:val="000000" w:themeColor="text1"/>
                <w:sz w:val="24"/>
                <w14:textFill>
                  <w14:solidFill>
                    <w14:schemeClr w14:val="tx1"/>
                  </w14:solidFill>
                </w14:textFill>
              </w:rPr>
              <w:t>，签字或盖章后</w:t>
            </w:r>
            <w:r>
              <w:rPr>
                <w:rFonts w:ascii="仿宋" w:hAnsi="仿宋" w:eastAsia="仿宋"/>
                <w:bCs/>
                <w:color w:val="000000" w:themeColor="text1"/>
                <w:sz w:val="24"/>
                <w14:textFill>
                  <w14:solidFill>
                    <w14:schemeClr w14:val="tx1"/>
                  </w14:solidFill>
                </w14:textFill>
              </w:rPr>
              <w:t>以回执形式发送给代理机构</w:t>
            </w:r>
            <w:r>
              <w:rPr>
                <w:rFonts w:hint="eastAsia" w:ascii="仿宋" w:hAnsi="仿宋" w:eastAsia="仿宋"/>
                <w:bCs/>
                <w:color w:val="000000" w:themeColor="text1"/>
                <w:sz w:val="24"/>
                <w14:textFill>
                  <w14:solidFill>
                    <w14:schemeClr w14:val="tx1"/>
                  </w14:solidFill>
                </w14:textFill>
              </w:rPr>
              <w:t>，否则视同收到并确认。</w:t>
            </w:r>
          </w:p>
        </w:tc>
      </w:tr>
      <w:tr w14:paraId="402B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31F8DBC8">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十九</w:t>
            </w:r>
          </w:p>
        </w:tc>
        <w:tc>
          <w:tcPr>
            <w:tcW w:w="1012" w:type="pct"/>
            <w:vAlign w:val="center"/>
          </w:tcPr>
          <w:p w14:paraId="33144327">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★投标保证金交纳方式</w:t>
            </w:r>
          </w:p>
        </w:tc>
        <w:tc>
          <w:tcPr>
            <w:tcW w:w="3393" w:type="pct"/>
          </w:tcPr>
          <w:p w14:paraId="5DD36F95">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1</w:t>
            </w:r>
            <w:r>
              <w:rPr>
                <w:rFonts w:ascii="仿宋" w:hAnsi="仿宋"/>
                <w:bCs/>
                <w:color w:val="000000" w:themeColor="text1"/>
                <w14:textFill>
                  <w14:solidFill>
                    <w14:schemeClr w14:val="tx1"/>
                  </w14:solidFill>
                </w14:textFill>
              </w:rPr>
              <w:t>.</w:t>
            </w:r>
            <w:r>
              <w:rPr>
                <w:rFonts w:hint="eastAsia" w:ascii="仿宋" w:hAnsi="仿宋"/>
                <w:bCs/>
                <w:color w:val="000000" w:themeColor="text1"/>
                <w14:textFill>
                  <w14:solidFill>
                    <w14:schemeClr w14:val="tx1"/>
                  </w14:solidFill>
                </w14:textFill>
              </w:rPr>
              <w:t>投标保证金的交纳可采用下列形式之一：汇款、支票、汇票、本票或者具有担保资格的机构出具的相应保函等非现金形式提交；</w:t>
            </w:r>
          </w:p>
          <w:p w14:paraId="136C9E0B">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2.</w:t>
            </w:r>
            <w:r>
              <w:rPr>
                <w:rFonts w:hint="eastAsia" w:ascii="仿宋" w:hAnsi="仿宋"/>
                <w:bCs/>
                <w:color w:val="000000" w:themeColor="text1"/>
                <w14:textFill>
                  <w14:solidFill>
                    <w14:schemeClr w14:val="tx1"/>
                  </w14:solidFill>
                </w14:textFill>
              </w:rPr>
              <w:t>投标保证金支付账户应为投标人账户，接收单位为北京明世继元招标有限公司；</w:t>
            </w:r>
          </w:p>
          <w:p w14:paraId="48F7C996">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3</w:t>
            </w:r>
            <w:r>
              <w:rPr>
                <w:rFonts w:hint="eastAsia" w:ascii="仿宋" w:hAnsi="仿宋"/>
                <w:bCs/>
                <w:color w:val="000000" w:themeColor="text1"/>
                <w14:textFill>
                  <w14:solidFill>
                    <w14:schemeClr w14:val="tx1"/>
                  </w14:solidFill>
                </w14:textFill>
              </w:rPr>
              <w:t>.投标保证金须以包为单位分别交纳，不得合并在一起交纳。</w:t>
            </w:r>
          </w:p>
          <w:p w14:paraId="64FD652B">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4</w:t>
            </w:r>
            <w:r>
              <w:rPr>
                <w:rFonts w:hint="eastAsia" w:ascii="仿宋" w:hAnsi="仿宋"/>
                <w:bCs/>
                <w:color w:val="000000" w:themeColor="text1"/>
                <w14:textFill>
                  <w14:solidFill>
                    <w14:schemeClr w14:val="tx1"/>
                  </w14:solidFill>
                </w14:textFill>
              </w:rPr>
              <w:t>. 开户名（全称）：北京明世继元招标有限公司</w:t>
            </w:r>
          </w:p>
          <w:p w14:paraId="681F0F1D">
            <w:pPr>
              <w:snapToGrid w:val="0"/>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开户银行：中国建设银行股份有限公司北京马莲道支行</w:t>
            </w:r>
          </w:p>
          <w:p w14:paraId="0A93CC57">
            <w:pPr>
              <w:snapToGrid w:val="0"/>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账    号：</w:t>
            </w:r>
            <w:r>
              <w:rPr>
                <w:rFonts w:ascii="仿宋" w:hAnsi="仿宋" w:eastAsia="仿宋"/>
                <w:bCs/>
                <w:color w:val="000000" w:themeColor="text1"/>
                <w:sz w:val="24"/>
                <w14:textFill>
                  <w14:solidFill>
                    <w14:schemeClr w14:val="tx1"/>
                  </w14:solidFill>
                </w14:textFill>
              </w:rPr>
              <w:t>1100 1175 4000 5250 0474</w:t>
            </w:r>
          </w:p>
          <w:p w14:paraId="2B60EB30">
            <w:pPr>
              <w:pStyle w:val="16"/>
              <w:spacing w:after="0" w:line="400" w:lineRule="exact"/>
              <w:ind w:left="0"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注：交纳投标保证金时须写明项目编号</w:t>
            </w:r>
          </w:p>
        </w:tc>
      </w:tr>
      <w:tr w14:paraId="15E2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0AF90ACC">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二十</w:t>
            </w:r>
          </w:p>
        </w:tc>
        <w:tc>
          <w:tcPr>
            <w:tcW w:w="1012" w:type="pct"/>
            <w:vAlign w:val="center"/>
          </w:tcPr>
          <w:p w14:paraId="0F1FF9DF">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★投标保证金交纳截至时间</w:t>
            </w:r>
          </w:p>
        </w:tc>
        <w:tc>
          <w:tcPr>
            <w:tcW w:w="3393" w:type="pct"/>
          </w:tcPr>
          <w:p w14:paraId="58C1979B">
            <w:pPr>
              <w:pStyle w:val="16"/>
              <w:spacing w:after="0" w:line="400" w:lineRule="exact"/>
              <w:ind w:left="0"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投标人须在投标截止时间前确认投标保证金已汇入招标文件指定账户内，否则视为无效投标。</w:t>
            </w:r>
          </w:p>
        </w:tc>
      </w:tr>
      <w:tr w14:paraId="12E3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72251AE3">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二十一</w:t>
            </w:r>
          </w:p>
        </w:tc>
        <w:tc>
          <w:tcPr>
            <w:tcW w:w="1012" w:type="pct"/>
            <w:vAlign w:val="center"/>
          </w:tcPr>
          <w:p w14:paraId="14857925">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★投标保证金金额</w:t>
            </w:r>
          </w:p>
        </w:tc>
        <w:tc>
          <w:tcPr>
            <w:tcW w:w="3393" w:type="pct"/>
            <w:vAlign w:val="center"/>
          </w:tcPr>
          <w:p w14:paraId="5F852B86">
            <w:pPr>
              <w:pStyle w:val="16"/>
              <w:spacing w:after="0" w:line="400" w:lineRule="exact"/>
              <w:ind w:left="0" w:firstLine="480" w:firstLineChars="200"/>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人民币叁万元整</w:t>
            </w:r>
          </w:p>
        </w:tc>
      </w:tr>
      <w:tr w14:paraId="3DAD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65CA540A">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二十二</w:t>
            </w:r>
          </w:p>
        </w:tc>
        <w:tc>
          <w:tcPr>
            <w:tcW w:w="1012" w:type="pct"/>
            <w:vAlign w:val="center"/>
          </w:tcPr>
          <w:p w14:paraId="1E06F8E6">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投标保证金的退还</w:t>
            </w:r>
          </w:p>
        </w:tc>
        <w:tc>
          <w:tcPr>
            <w:tcW w:w="3393" w:type="pct"/>
          </w:tcPr>
          <w:p w14:paraId="5C122E3D">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退还</w:t>
            </w:r>
            <w:r>
              <w:rPr>
                <w:rFonts w:ascii="仿宋" w:hAnsi="仿宋"/>
                <w:bCs/>
                <w:color w:val="000000" w:themeColor="text1"/>
                <w14:textFill>
                  <w14:solidFill>
                    <w14:schemeClr w14:val="tx1"/>
                  </w14:solidFill>
                </w14:textFill>
              </w:rPr>
              <w:t>时间：</w:t>
            </w:r>
            <w:r>
              <w:rPr>
                <w:rFonts w:hint="eastAsia" w:ascii="仿宋" w:hAnsi="仿宋"/>
                <w:bCs/>
                <w:color w:val="000000" w:themeColor="text1"/>
                <w14:textFill>
                  <w14:solidFill>
                    <w14:schemeClr w14:val="tx1"/>
                  </w14:solidFill>
                </w14:textFill>
              </w:rPr>
              <w:t>自中标通知书发出之日起5个工作日内退还未中标人的投标保证金，代理机构自收到中标服务费、采购合同后5个工作日内退还中标人的投标保证金。</w:t>
            </w:r>
          </w:p>
          <w:p w14:paraId="4084C04A">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退还</w:t>
            </w:r>
            <w:r>
              <w:rPr>
                <w:rFonts w:ascii="仿宋" w:hAnsi="仿宋"/>
                <w:bCs/>
                <w:color w:val="000000" w:themeColor="text1"/>
                <w14:textFill>
                  <w14:solidFill>
                    <w14:schemeClr w14:val="tx1"/>
                  </w14:solidFill>
                </w14:textFill>
              </w:rPr>
              <w:t>方式：</w:t>
            </w:r>
            <w:r>
              <w:rPr>
                <w:rFonts w:hint="eastAsia" w:ascii="仿宋" w:hAnsi="仿宋"/>
                <w:bCs/>
                <w:color w:val="000000" w:themeColor="text1"/>
                <w14:textFill>
                  <w14:solidFill>
                    <w14:schemeClr w14:val="tx1"/>
                  </w14:solidFill>
                </w14:textFill>
              </w:rPr>
              <w:t>原路退还。</w:t>
            </w:r>
          </w:p>
          <w:p w14:paraId="0C874D4D">
            <w:pPr>
              <w:pStyle w:val="16"/>
              <w:spacing w:after="0" w:line="400" w:lineRule="exact"/>
              <w:ind w:left="0" w:firstLine="333" w:firstLineChars="139"/>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 xml:space="preserve"> 注</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投标人在投标截止时间前撤回已提交的投标文件的，自收到投标人书面撤回通知之日起５个工作日内，退还已收取的投标保证金，但因投标人自身原因导致无法及时退还的除外。</w:t>
            </w:r>
          </w:p>
        </w:tc>
      </w:tr>
      <w:tr w14:paraId="441A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28CA6DD4">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二十三</w:t>
            </w:r>
          </w:p>
        </w:tc>
        <w:tc>
          <w:tcPr>
            <w:tcW w:w="1012" w:type="pct"/>
            <w:vAlign w:val="center"/>
          </w:tcPr>
          <w:p w14:paraId="78E41A8E">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投保保证金不予退还的情形</w:t>
            </w:r>
          </w:p>
        </w:tc>
        <w:tc>
          <w:tcPr>
            <w:tcW w:w="3393" w:type="pct"/>
            <w:vAlign w:val="center"/>
          </w:tcPr>
          <w:p w14:paraId="61DBB0CC">
            <w:pPr>
              <w:pStyle w:val="16"/>
              <w:spacing w:after="0" w:line="400" w:lineRule="exact"/>
              <w:ind w:left="0"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投标有效期内投标人撤销投标文件的。</w:t>
            </w:r>
          </w:p>
        </w:tc>
      </w:tr>
      <w:tr w14:paraId="4AC0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7A34C79B">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二十四</w:t>
            </w:r>
          </w:p>
        </w:tc>
        <w:tc>
          <w:tcPr>
            <w:tcW w:w="1012" w:type="pct"/>
            <w:vAlign w:val="center"/>
          </w:tcPr>
          <w:p w14:paraId="55DA7D58">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★投标文件的递交份数</w:t>
            </w:r>
          </w:p>
        </w:tc>
        <w:tc>
          <w:tcPr>
            <w:tcW w:w="3393" w:type="pct"/>
          </w:tcPr>
          <w:p w14:paraId="308DCAE3">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bookmarkStart w:id="18" w:name="_Hlk28341766"/>
            <w:r>
              <w:rPr>
                <w:rFonts w:hint="eastAsia" w:ascii="仿宋" w:hAnsi="仿宋"/>
                <w:bCs/>
                <w:color w:val="000000" w:themeColor="text1"/>
                <w14:textFill>
                  <w14:solidFill>
                    <w14:schemeClr w14:val="tx1"/>
                  </w14:solidFill>
                </w14:textFill>
              </w:rPr>
              <w:t>1. 正本1份；</w:t>
            </w:r>
            <w:bookmarkEnd w:id="18"/>
          </w:p>
          <w:p w14:paraId="3BCE6347">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2</w:t>
            </w:r>
            <w:r>
              <w:rPr>
                <w:rFonts w:hint="eastAsia" w:ascii="仿宋" w:hAnsi="仿宋"/>
                <w:bCs/>
                <w:color w:val="000000" w:themeColor="text1"/>
                <w14:textFill>
                  <w14:solidFill>
                    <w14:schemeClr w14:val="tx1"/>
                  </w14:solidFill>
                </w14:textFill>
              </w:rPr>
              <w:t>. 副本4份；</w:t>
            </w:r>
          </w:p>
          <w:p w14:paraId="77C35DED">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3</w:t>
            </w:r>
            <w:r>
              <w:rPr>
                <w:rFonts w:hint="eastAsia" w:ascii="仿宋" w:hAnsi="仿宋"/>
                <w:bCs/>
                <w:color w:val="000000" w:themeColor="text1"/>
                <w14:textFill>
                  <w14:solidFill>
                    <w14:schemeClr w14:val="tx1"/>
                  </w14:solidFill>
                </w14:textFill>
              </w:rPr>
              <w:t>. 电子版1份（可编辑的WORD文档1份，PDF文档1份，P</w:t>
            </w:r>
            <w:r>
              <w:rPr>
                <w:rFonts w:ascii="仿宋" w:hAnsi="仿宋"/>
                <w:bCs/>
                <w:color w:val="000000" w:themeColor="text1"/>
                <w14:textFill>
                  <w14:solidFill>
                    <w14:schemeClr w14:val="tx1"/>
                  </w14:solidFill>
                </w14:textFill>
              </w:rPr>
              <w:t>DF</w:t>
            </w:r>
            <w:r>
              <w:rPr>
                <w:rFonts w:hint="eastAsia" w:ascii="仿宋" w:hAnsi="仿宋"/>
                <w:bCs/>
                <w:color w:val="000000" w:themeColor="text1"/>
                <w14:textFill>
                  <w14:solidFill>
                    <w14:schemeClr w14:val="tx1"/>
                  </w14:solidFill>
                </w14:textFill>
              </w:rPr>
              <w:t>须为正本的扫描件）；</w:t>
            </w:r>
          </w:p>
          <w:p w14:paraId="1CF743B6">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4</w:t>
            </w:r>
            <w:r>
              <w:rPr>
                <w:rFonts w:hint="eastAsia" w:ascii="仿宋" w:hAnsi="仿宋"/>
                <w:bCs/>
                <w:color w:val="000000" w:themeColor="text1"/>
                <w14:textFill>
                  <w14:solidFill>
                    <w14:schemeClr w14:val="tx1"/>
                  </w14:solidFill>
                </w14:textFill>
              </w:rPr>
              <w:t>. 报价表1份;</w:t>
            </w:r>
          </w:p>
          <w:p w14:paraId="54ED6546">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5.</w:t>
            </w:r>
            <w:r>
              <w:rPr>
                <w:rFonts w:hint="eastAsia" w:ascii="仿宋" w:hAnsi="仿宋"/>
                <w:bCs/>
                <w:color w:val="000000" w:themeColor="text1"/>
                <w14:textFill>
                  <w14:solidFill>
                    <w14:schemeClr w14:val="tx1"/>
                  </w14:solidFill>
                </w14:textFill>
              </w:rPr>
              <w:t xml:space="preserve"> 《</w:t>
            </w:r>
            <w:bookmarkStart w:id="19" w:name="_Hlk54961273"/>
            <w:r>
              <w:rPr>
                <w:rFonts w:hint="eastAsia" w:ascii="仿宋" w:hAnsi="仿宋"/>
                <w:bCs/>
                <w:color w:val="000000" w:themeColor="text1"/>
                <w14:textFill>
                  <w14:solidFill>
                    <w14:schemeClr w14:val="tx1"/>
                  </w14:solidFill>
                </w14:textFill>
              </w:rPr>
              <w:t>投标保证金退款信息函</w:t>
            </w:r>
            <w:bookmarkEnd w:id="19"/>
            <w:r>
              <w:rPr>
                <w:rFonts w:hint="eastAsia" w:ascii="仿宋" w:hAnsi="仿宋"/>
                <w:bCs/>
                <w:color w:val="000000" w:themeColor="text1"/>
                <w14:textFill>
                  <w14:solidFill>
                    <w14:schemeClr w14:val="tx1"/>
                  </w14:solidFill>
                </w14:textFill>
              </w:rPr>
              <w:t>》</w:t>
            </w:r>
            <w:r>
              <w:rPr>
                <w:rFonts w:ascii="仿宋" w:hAnsi="仿宋"/>
                <w:bCs/>
                <w:color w:val="000000" w:themeColor="text1"/>
                <w14:textFill>
                  <w14:solidFill>
                    <w14:schemeClr w14:val="tx1"/>
                  </w14:solidFill>
                </w14:textFill>
              </w:rPr>
              <w:t>1</w:t>
            </w:r>
            <w:r>
              <w:rPr>
                <w:rFonts w:hint="eastAsia" w:ascii="仿宋" w:hAnsi="仿宋"/>
                <w:bCs/>
                <w:color w:val="000000" w:themeColor="text1"/>
                <w14:textFill>
                  <w14:solidFill>
                    <w14:schemeClr w14:val="tx1"/>
                  </w14:solidFill>
                </w14:textFill>
              </w:rPr>
              <w:t>份（单独</w:t>
            </w:r>
            <w:r>
              <w:rPr>
                <w:rFonts w:ascii="仿宋" w:hAnsi="仿宋"/>
                <w:bCs/>
                <w:color w:val="000000" w:themeColor="text1"/>
                <w14:textFill>
                  <w14:solidFill>
                    <w14:schemeClr w14:val="tx1"/>
                  </w14:solidFill>
                </w14:textFill>
              </w:rPr>
              <w:t>密封）</w:t>
            </w:r>
            <w:r>
              <w:rPr>
                <w:rFonts w:hint="eastAsia" w:ascii="仿宋" w:hAnsi="仿宋"/>
                <w:bCs/>
                <w:color w:val="000000" w:themeColor="text1"/>
                <w14:textFill>
                  <w14:solidFill>
                    <w14:schemeClr w14:val="tx1"/>
                  </w14:solidFill>
                </w14:textFill>
              </w:rPr>
              <w:t>。</w:t>
            </w:r>
          </w:p>
          <w:p w14:paraId="3A077282">
            <w:pPr>
              <w:pStyle w:val="16"/>
              <w:spacing w:after="0" w:line="400" w:lineRule="exact"/>
              <w:ind w:left="0"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注：副本可以为正本的复印件，若正本和副本不符，均以正本文件为准。</w:t>
            </w:r>
          </w:p>
        </w:tc>
      </w:tr>
      <w:tr w14:paraId="2D70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21F8B198">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二十五</w:t>
            </w:r>
          </w:p>
        </w:tc>
        <w:tc>
          <w:tcPr>
            <w:tcW w:w="1012" w:type="pct"/>
            <w:vAlign w:val="center"/>
          </w:tcPr>
          <w:p w14:paraId="5CC1E943">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投标文件的密封</w:t>
            </w:r>
          </w:p>
        </w:tc>
        <w:tc>
          <w:tcPr>
            <w:tcW w:w="3393" w:type="pct"/>
          </w:tcPr>
          <w:p w14:paraId="6A65EF14">
            <w:pPr>
              <w:pStyle w:val="6"/>
              <w:snapToGrid w:val="0"/>
              <w:spacing w:line="400" w:lineRule="exact"/>
              <w:ind w:firstLine="480" w:firstLineChars="200"/>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1. 正本、副本、电子版、报价表、投标保证金退款信息函须单独密封递交；</w:t>
            </w:r>
          </w:p>
          <w:p w14:paraId="6391C98D">
            <w:pPr>
              <w:pStyle w:val="6"/>
              <w:snapToGrid w:val="0"/>
              <w:spacing w:line="400" w:lineRule="exact"/>
              <w:ind w:firstLine="480" w:firstLineChars="200"/>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2.密封袋上应载明的信息：采购单位名称、项目名称、项目编号、服务名称、投标人名称、投标人地址、正本、副本、电子版、报价表、投标保证金退款信息函和在封口处标明“请勿于202</w:t>
            </w:r>
            <w:r>
              <w:rPr>
                <w:rFonts w:ascii="仿宋" w:hAnsi="仿宋"/>
                <w:bCs/>
                <w:color w:val="000000" w:themeColor="text1"/>
                <w14:textFill>
                  <w14:solidFill>
                    <w14:schemeClr w14:val="tx1"/>
                  </w14:solidFill>
                </w14:textFill>
              </w:rPr>
              <w:t>5</w:t>
            </w:r>
            <w:r>
              <w:rPr>
                <w:rFonts w:hint="eastAsia" w:ascii="仿宋" w:hAnsi="仿宋"/>
                <w:bCs/>
                <w:color w:val="000000" w:themeColor="text1"/>
                <w14:textFill>
                  <w14:solidFill>
                    <w14:schemeClr w14:val="tx1"/>
                  </w14:solidFill>
                </w14:textFill>
              </w:rPr>
              <w:t>年**月**日09:30前启封”的字样并加盖投标人公章或授权代表签字；</w:t>
            </w:r>
          </w:p>
          <w:p w14:paraId="161E8F67">
            <w:pPr>
              <w:pStyle w:val="16"/>
              <w:spacing w:after="0" w:line="400" w:lineRule="exact"/>
              <w:ind w:left="0"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3.密封破损、不严密可能泄露其投标信息的将被拒收。</w:t>
            </w:r>
          </w:p>
        </w:tc>
      </w:tr>
      <w:tr w14:paraId="2123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76D992B7">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二十六</w:t>
            </w:r>
          </w:p>
        </w:tc>
        <w:tc>
          <w:tcPr>
            <w:tcW w:w="1012" w:type="pct"/>
            <w:vAlign w:val="center"/>
          </w:tcPr>
          <w:p w14:paraId="13DE678D">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★投标文件的</w:t>
            </w:r>
            <w:r>
              <w:rPr>
                <w:rFonts w:ascii="仿宋" w:hAnsi="仿宋" w:eastAsia="仿宋"/>
                <w:bCs/>
                <w:color w:val="000000" w:themeColor="text1"/>
                <w:sz w:val="24"/>
                <w14:textFill>
                  <w14:solidFill>
                    <w14:schemeClr w14:val="tx1"/>
                  </w14:solidFill>
                </w14:textFill>
              </w:rPr>
              <w:t>签署</w:t>
            </w:r>
          </w:p>
        </w:tc>
        <w:tc>
          <w:tcPr>
            <w:tcW w:w="3393" w:type="pct"/>
          </w:tcPr>
          <w:p w14:paraId="56374372">
            <w:pPr>
              <w:pStyle w:val="6"/>
              <w:snapToGrid w:val="0"/>
              <w:spacing w:line="400" w:lineRule="exact"/>
              <w:ind w:firstLine="480" w:firstLineChars="200"/>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须投标人法定代表人签字或加盖人名章的，无法定代表人签字或加盖人名章的为无效投标；须被授权代表签字的，无被授权代表签字的为无效投标。</w:t>
            </w:r>
          </w:p>
        </w:tc>
      </w:tr>
      <w:tr w14:paraId="519C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30D97CBD">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二十七</w:t>
            </w:r>
          </w:p>
        </w:tc>
        <w:tc>
          <w:tcPr>
            <w:tcW w:w="1012" w:type="pct"/>
            <w:vAlign w:val="center"/>
          </w:tcPr>
          <w:p w14:paraId="22933AAD">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★投标文件的</w:t>
            </w:r>
            <w:r>
              <w:rPr>
                <w:rFonts w:ascii="仿宋" w:hAnsi="仿宋" w:eastAsia="仿宋"/>
                <w:bCs/>
                <w:color w:val="000000" w:themeColor="text1"/>
                <w:sz w:val="24"/>
                <w14:textFill>
                  <w14:solidFill>
                    <w14:schemeClr w14:val="tx1"/>
                  </w14:solidFill>
                </w14:textFill>
              </w:rPr>
              <w:t>盖章</w:t>
            </w:r>
          </w:p>
        </w:tc>
        <w:tc>
          <w:tcPr>
            <w:tcW w:w="3393" w:type="pct"/>
          </w:tcPr>
          <w:p w14:paraId="053EB46D">
            <w:pPr>
              <w:pStyle w:val="6"/>
              <w:snapToGrid w:val="0"/>
              <w:spacing w:line="400" w:lineRule="exact"/>
              <w:ind w:firstLine="480" w:firstLineChars="200"/>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本招标文件中要求加盖的投标人公章是指与投标人名称全称相一致的“公章”，不得加盖其它“合同专用章、投标专用章、财务专用章”等专项用途印章，不符合本条规定的将被视为无效投标。</w:t>
            </w:r>
          </w:p>
        </w:tc>
      </w:tr>
      <w:tr w14:paraId="716F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4DD91936">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二十八</w:t>
            </w:r>
          </w:p>
        </w:tc>
        <w:tc>
          <w:tcPr>
            <w:tcW w:w="1012" w:type="pct"/>
            <w:vAlign w:val="center"/>
          </w:tcPr>
          <w:p w14:paraId="1CA912AC">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投标文件的退还</w:t>
            </w:r>
          </w:p>
        </w:tc>
        <w:tc>
          <w:tcPr>
            <w:tcW w:w="3393" w:type="pct"/>
          </w:tcPr>
          <w:p w14:paraId="1D3E1319">
            <w:pPr>
              <w:pStyle w:val="6"/>
              <w:snapToGrid w:val="0"/>
              <w:spacing w:line="400" w:lineRule="exact"/>
              <w:ind w:firstLine="480" w:firstLineChars="200"/>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投标文件</w:t>
            </w:r>
            <w:r>
              <w:rPr>
                <w:rFonts w:ascii="仿宋" w:hAnsi="仿宋"/>
                <w:bCs/>
                <w:color w:val="000000" w:themeColor="text1"/>
                <w14:textFill>
                  <w14:solidFill>
                    <w14:schemeClr w14:val="tx1"/>
                  </w14:solidFill>
                </w14:textFill>
              </w:rPr>
              <w:t>递交截止</w:t>
            </w:r>
            <w:r>
              <w:rPr>
                <w:rFonts w:hint="eastAsia" w:ascii="仿宋" w:hAnsi="仿宋"/>
                <w:bCs/>
                <w:color w:val="000000" w:themeColor="text1"/>
                <w14:textFill>
                  <w14:solidFill>
                    <w14:schemeClr w14:val="tx1"/>
                  </w14:solidFill>
                </w14:textFill>
              </w:rPr>
              <w:t>时间前</w:t>
            </w:r>
            <w:r>
              <w:rPr>
                <w:rFonts w:ascii="仿宋" w:hAnsi="仿宋"/>
                <w:bCs/>
                <w:color w:val="000000" w:themeColor="text1"/>
                <w14:textFill>
                  <w14:solidFill>
                    <w14:schemeClr w14:val="tx1"/>
                  </w14:solidFill>
                </w14:textFill>
              </w:rPr>
              <w:t>递交投标文件</w:t>
            </w:r>
            <w:r>
              <w:rPr>
                <w:rFonts w:hint="eastAsia" w:ascii="仿宋" w:hAnsi="仿宋"/>
                <w:bCs/>
                <w:color w:val="000000" w:themeColor="text1"/>
                <w14:textFill>
                  <w14:solidFill>
                    <w14:schemeClr w14:val="tx1"/>
                  </w14:solidFill>
                </w14:textFill>
              </w:rPr>
              <w:t>不足三家</w:t>
            </w:r>
            <w:r>
              <w:rPr>
                <w:rFonts w:ascii="仿宋" w:hAnsi="仿宋"/>
                <w:bCs/>
                <w:color w:val="000000" w:themeColor="text1"/>
                <w14:textFill>
                  <w14:solidFill>
                    <w14:schemeClr w14:val="tx1"/>
                  </w14:solidFill>
                </w14:textFill>
              </w:rPr>
              <w:t>的，投标文件将原封退</w:t>
            </w:r>
            <w:r>
              <w:rPr>
                <w:rFonts w:hint="eastAsia" w:ascii="仿宋" w:hAnsi="仿宋"/>
                <w:bCs/>
                <w:color w:val="000000" w:themeColor="text1"/>
                <w14:textFill>
                  <w14:solidFill>
                    <w14:schemeClr w14:val="tx1"/>
                  </w14:solidFill>
                </w14:textFill>
              </w:rPr>
              <w:t>还投标人。</w:t>
            </w:r>
          </w:p>
        </w:tc>
      </w:tr>
      <w:tr w14:paraId="1BB7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249E955C">
            <w:pPr>
              <w:pStyle w:val="16"/>
              <w:spacing w:after="0" w:line="400" w:lineRule="exact"/>
              <w:ind w:left="0"/>
              <w:jc w:val="center"/>
              <w:rPr>
                <w:rFonts w:ascii="仿宋" w:hAnsi="仿宋" w:eastAsia="仿宋"/>
                <w:bCs/>
                <w:color w:val="000000" w:themeColor="text1"/>
                <w:sz w:val="24"/>
                <w14:textFill>
                  <w14:solidFill>
                    <w14:schemeClr w14:val="tx1"/>
                  </w14:solidFill>
                </w14:textFill>
              </w:rPr>
            </w:pPr>
            <w:bookmarkStart w:id="20" w:name="_Hlk204697911"/>
            <w:r>
              <w:rPr>
                <w:rFonts w:hint="eastAsia" w:ascii="仿宋" w:hAnsi="仿宋" w:eastAsia="仿宋"/>
                <w:bCs/>
                <w:color w:val="000000" w:themeColor="text1"/>
                <w:sz w:val="24"/>
                <w14:textFill>
                  <w14:solidFill>
                    <w14:schemeClr w14:val="tx1"/>
                  </w14:solidFill>
                </w14:textFill>
              </w:rPr>
              <w:t>二十九</w:t>
            </w:r>
          </w:p>
        </w:tc>
        <w:tc>
          <w:tcPr>
            <w:tcW w:w="1012" w:type="pct"/>
            <w:vAlign w:val="center"/>
          </w:tcPr>
          <w:p w14:paraId="72D4BF9D">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★投标人资格要求</w:t>
            </w:r>
          </w:p>
        </w:tc>
        <w:tc>
          <w:tcPr>
            <w:tcW w:w="3393" w:type="pct"/>
          </w:tcPr>
          <w:p w14:paraId="648383B7">
            <w:pPr>
              <w:pStyle w:val="16"/>
              <w:numPr>
                <w:ilvl w:val="0"/>
                <w:numId w:val="1"/>
              </w:numPr>
              <w:spacing w:after="0" w:line="40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具有独立承担民事责任能力的；</w:t>
            </w:r>
          </w:p>
          <w:p w14:paraId="2460F61F">
            <w:pPr>
              <w:pStyle w:val="16"/>
              <w:numPr>
                <w:ilvl w:val="0"/>
                <w:numId w:val="1"/>
              </w:numPr>
              <w:spacing w:after="0" w:line="400" w:lineRule="exact"/>
              <w:ind w:left="0" w:firstLine="476"/>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具有良好的商业信誉和健全的财务会计制度的；</w:t>
            </w:r>
          </w:p>
          <w:p w14:paraId="36CED9A8">
            <w:pPr>
              <w:pStyle w:val="16"/>
              <w:numPr>
                <w:ilvl w:val="0"/>
                <w:numId w:val="1"/>
              </w:numPr>
              <w:spacing w:after="0" w:line="400" w:lineRule="exact"/>
              <w:ind w:left="0" w:firstLine="476"/>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具有履行合同所必需的设备和专业技术能力的；</w:t>
            </w:r>
          </w:p>
          <w:p w14:paraId="3880C611">
            <w:pPr>
              <w:pStyle w:val="16"/>
              <w:numPr>
                <w:ilvl w:val="0"/>
                <w:numId w:val="1"/>
              </w:numPr>
              <w:spacing w:after="0" w:line="400" w:lineRule="exact"/>
              <w:ind w:left="0" w:firstLine="476"/>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有依法缴纳税收和社会保障资金良好记录的；</w:t>
            </w:r>
          </w:p>
          <w:p w14:paraId="3F3B5151">
            <w:pPr>
              <w:pStyle w:val="16"/>
              <w:numPr>
                <w:ilvl w:val="0"/>
                <w:numId w:val="1"/>
              </w:numPr>
              <w:spacing w:after="0" w:line="400" w:lineRule="exact"/>
              <w:ind w:left="0" w:firstLine="476"/>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参加采购活动前三年内，在经营活动中没有重大违法记录的；</w:t>
            </w:r>
          </w:p>
          <w:p w14:paraId="61AB73C7">
            <w:pPr>
              <w:pStyle w:val="16"/>
              <w:numPr>
                <w:ilvl w:val="0"/>
                <w:numId w:val="1"/>
              </w:numPr>
              <w:spacing w:after="0" w:line="400" w:lineRule="exact"/>
              <w:ind w:left="0" w:firstLine="476"/>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未被列入中国政府采购网（www.ccgp.gov.cn）“政府采购严重违法失信行为记录名单”、信用中国网（www.creditchina.gov.cn） “失信被执行人”“重大税收违法案件当事人名单（重大税收违法失信主体）”“政府采购严重违法失信行为记录名单”的。</w:t>
            </w:r>
          </w:p>
          <w:p w14:paraId="098593F4">
            <w:pPr>
              <w:pStyle w:val="16"/>
              <w:numPr>
                <w:ilvl w:val="0"/>
                <w:numId w:val="1"/>
              </w:numPr>
              <w:spacing w:after="0" w:line="400" w:lineRule="exact"/>
              <w:ind w:left="0" w:firstLine="476"/>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本项目须满足的特定条件：</w:t>
            </w:r>
          </w:p>
          <w:p w14:paraId="7D0B4EB4">
            <w:pPr>
              <w:spacing w:after="0" w:line="400" w:lineRule="exact"/>
              <w:ind w:firstLine="448" w:firstLineChars="18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经国家金融监管部门批准，在中国境内注册的独立法人；</w:t>
            </w:r>
          </w:p>
          <w:p w14:paraId="2BFB47F4">
            <w:pPr>
              <w:spacing w:after="0" w:line="400" w:lineRule="exact"/>
              <w:ind w:firstLine="448" w:firstLineChars="18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具有完善的法人治理结构；</w:t>
            </w:r>
          </w:p>
          <w:p w14:paraId="00211027">
            <w:pPr>
              <w:spacing w:after="0" w:line="400" w:lineRule="exact"/>
              <w:ind w:firstLine="448" w:firstLineChars="18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3</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取得企业年金基金从业资格的专职人员达到规定人数；</w:t>
            </w:r>
          </w:p>
          <w:p w14:paraId="4712D217">
            <w:pPr>
              <w:spacing w:after="0" w:line="400" w:lineRule="exact"/>
              <w:ind w:firstLine="448" w:firstLineChars="18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4</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具有符合要求的营业场所、安全防范设施和与企业年金计划受托管理业务有关的其他设施；</w:t>
            </w:r>
          </w:p>
          <w:p w14:paraId="68A5C4F8">
            <w:pPr>
              <w:spacing w:after="0" w:line="400" w:lineRule="exact"/>
              <w:ind w:firstLine="448" w:firstLineChars="18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5</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具有完善的内部稽核监控制度和风险控制制度；</w:t>
            </w:r>
          </w:p>
          <w:p w14:paraId="209D01CC">
            <w:pPr>
              <w:spacing w:after="0" w:line="400" w:lineRule="exact"/>
              <w:ind w:firstLine="448" w:firstLineChars="18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6</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近3年没有重大违法违规行为；</w:t>
            </w:r>
          </w:p>
          <w:p w14:paraId="6EBBEAEC">
            <w:pPr>
              <w:spacing w:after="0" w:line="400" w:lineRule="exact"/>
              <w:ind w:firstLine="448" w:firstLineChars="18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7</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 xml:space="preserve">具备企业年金法人受托管理资质； </w:t>
            </w:r>
          </w:p>
          <w:p w14:paraId="66C7D807">
            <w:pPr>
              <w:spacing w:after="0" w:line="400" w:lineRule="exact"/>
              <w:ind w:firstLine="448" w:firstLineChars="187"/>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8</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国家规定的其他条件。</w:t>
            </w:r>
          </w:p>
        </w:tc>
      </w:tr>
      <w:bookmarkEnd w:id="20"/>
      <w:tr w14:paraId="58E8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23EC730B">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三十</w:t>
            </w:r>
          </w:p>
        </w:tc>
        <w:tc>
          <w:tcPr>
            <w:tcW w:w="1012" w:type="pct"/>
            <w:vAlign w:val="center"/>
          </w:tcPr>
          <w:p w14:paraId="41063873">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w:t>
            </w:r>
            <w:r>
              <w:rPr>
                <w:rFonts w:ascii="仿宋" w:hAnsi="仿宋" w:eastAsia="仿宋"/>
                <w:bCs/>
                <w:color w:val="000000" w:themeColor="text1"/>
                <w:sz w:val="24"/>
                <w14:textFill>
                  <w14:solidFill>
                    <w14:schemeClr w14:val="tx1"/>
                  </w14:solidFill>
                </w14:textFill>
              </w:rPr>
              <w:t>其他要求</w:t>
            </w:r>
          </w:p>
        </w:tc>
        <w:tc>
          <w:tcPr>
            <w:tcW w:w="3393" w:type="pct"/>
          </w:tcPr>
          <w:p w14:paraId="4E8BC609">
            <w:pPr>
              <w:pStyle w:val="8"/>
              <w:spacing w:after="0" w:line="400" w:lineRule="exact"/>
              <w:ind w:firstLine="480" w:firstLineChars="200"/>
              <w:rPr>
                <w:rFonts w:ascii="仿宋" w:hAnsi="仿宋" w:eastAsia="仿宋"/>
                <w:bCs/>
                <w:color w:val="000000" w:themeColor="text1"/>
                <w:sz w:val="24"/>
                <w14:textFill>
                  <w14:solidFill>
                    <w14:schemeClr w14:val="tx1"/>
                  </w14:solidFill>
                </w14:textFill>
              </w:rPr>
            </w:pPr>
            <w:bookmarkStart w:id="21" w:name="_Hlk69211909"/>
            <w:r>
              <w:rPr>
                <w:rFonts w:hint="eastAsia" w:ascii="仿宋" w:hAnsi="仿宋" w:eastAsia="仿宋"/>
                <w:bCs/>
                <w:color w:val="000000" w:themeColor="text1"/>
                <w:sz w:val="24"/>
                <w14:textFill>
                  <w14:solidFill>
                    <w14:schemeClr w14:val="tx1"/>
                  </w14:solidFill>
                </w14:textFill>
              </w:rPr>
              <w:t>1.2023年1月1日至今所受托的企业年金项目业绩（数量）（以委托合同为准）</w:t>
            </w:r>
          </w:p>
          <w:p w14:paraId="36F794FF">
            <w:pPr>
              <w:pStyle w:val="8"/>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2.拟采用集合计划近三年经营业绩（规模、收益率）（以符合人社部要求的年金报告为准，首页及相关详情页）</w:t>
            </w:r>
          </w:p>
          <w:bookmarkEnd w:id="21"/>
          <w:p w14:paraId="6C15479E">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3.</w:t>
            </w:r>
            <w:r>
              <w:rPr>
                <w:rFonts w:hint="eastAsia" w:ascii="仿宋" w:hAnsi="仿宋"/>
                <w:bCs/>
                <w:color w:val="000000" w:themeColor="text1"/>
                <w14:textFill>
                  <w14:solidFill>
                    <w14:schemeClr w14:val="tx1"/>
                  </w14:solidFill>
                </w14:textFill>
              </w:rPr>
              <w:t>服务方案；</w:t>
            </w:r>
          </w:p>
          <w:p w14:paraId="26B06A3F">
            <w:pPr>
              <w:pStyle w:val="6"/>
              <w:snapToGrid w:val="0"/>
              <w:spacing w:line="400" w:lineRule="exact"/>
              <w:ind w:firstLine="480" w:firstLineChars="200"/>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4</w:t>
            </w:r>
            <w:r>
              <w:rPr>
                <w:rFonts w:hint="eastAsia" w:ascii="仿宋" w:hAnsi="仿宋"/>
                <w:bCs/>
                <w:color w:val="000000" w:themeColor="text1"/>
                <w14:textFill>
                  <w14:solidFill>
                    <w14:schemeClr w14:val="tx1"/>
                  </w14:solidFill>
                </w14:textFill>
              </w:rPr>
              <w:t>.其他材料（投标人认为能够证明企业资质和信誉的文件）。</w:t>
            </w:r>
          </w:p>
        </w:tc>
      </w:tr>
      <w:tr w14:paraId="7C87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3177E9FD">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三十一</w:t>
            </w:r>
          </w:p>
        </w:tc>
        <w:tc>
          <w:tcPr>
            <w:tcW w:w="1012" w:type="pct"/>
            <w:vAlign w:val="center"/>
          </w:tcPr>
          <w:p w14:paraId="605867D9">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★服务期</w:t>
            </w:r>
          </w:p>
        </w:tc>
        <w:tc>
          <w:tcPr>
            <w:tcW w:w="3393" w:type="pct"/>
          </w:tcPr>
          <w:p w14:paraId="3A94E0F9">
            <w:pPr>
              <w:pStyle w:val="8"/>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自加入集合计划后三年。</w:t>
            </w:r>
          </w:p>
        </w:tc>
      </w:tr>
      <w:tr w14:paraId="10B7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105B2105">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三十二</w:t>
            </w:r>
          </w:p>
        </w:tc>
        <w:tc>
          <w:tcPr>
            <w:tcW w:w="1012" w:type="pct"/>
            <w:vAlign w:val="center"/>
          </w:tcPr>
          <w:p w14:paraId="130E6AF7">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★服务</w:t>
            </w:r>
            <w:r>
              <w:rPr>
                <w:rFonts w:ascii="仿宋" w:hAnsi="仿宋" w:eastAsia="仿宋"/>
                <w:bCs/>
                <w:color w:val="000000" w:themeColor="text1"/>
                <w:sz w:val="24"/>
                <w14:textFill>
                  <w14:solidFill>
                    <w14:schemeClr w14:val="tx1"/>
                  </w14:solidFill>
                </w14:textFill>
              </w:rPr>
              <w:t>地点</w:t>
            </w:r>
          </w:p>
        </w:tc>
        <w:tc>
          <w:tcPr>
            <w:tcW w:w="3393" w:type="pct"/>
          </w:tcPr>
          <w:p w14:paraId="2B2A4C21">
            <w:pPr>
              <w:pStyle w:val="8"/>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内蒙古自治区赤峰市</w:t>
            </w:r>
          </w:p>
        </w:tc>
      </w:tr>
      <w:tr w14:paraId="0D3B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155A44E3">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三十三</w:t>
            </w:r>
          </w:p>
        </w:tc>
        <w:tc>
          <w:tcPr>
            <w:tcW w:w="1012" w:type="pct"/>
            <w:vAlign w:val="center"/>
          </w:tcPr>
          <w:p w14:paraId="43116A5E">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管理费支付方式</w:t>
            </w:r>
          </w:p>
        </w:tc>
        <w:tc>
          <w:tcPr>
            <w:tcW w:w="3393" w:type="pct"/>
          </w:tcPr>
          <w:p w14:paraId="117E0B2B">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受托管理费按合同约定提取：</w:t>
            </w:r>
          </w:p>
          <w:p w14:paraId="0E2A70F1">
            <w:pPr>
              <w:pStyle w:val="8"/>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其他相关费用：投资管理费、托管费按相关约定提取，账户管理费由采购人另行支付给账户管理人。</w:t>
            </w:r>
          </w:p>
        </w:tc>
      </w:tr>
      <w:tr w14:paraId="15CA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67BB9F89">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三十四</w:t>
            </w:r>
          </w:p>
        </w:tc>
        <w:tc>
          <w:tcPr>
            <w:tcW w:w="1012" w:type="pct"/>
            <w:vAlign w:val="center"/>
          </w:tcPr>
          <w:p w14:paraId="23E437CB">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构成招标文件的其他资料</w:t>
            </w:r>
          </w:p>
        </w:tc>
        <w:tc>
          <w:tcPr>
            <w:tcW w:w="3393" w:type="pct"/>
          </w:tcPr>
          <w:p w14:paraId="4B138B29">
            <w:pPr>
              <w:pStyle w:val="8"/>
              <w:spacing w:after="0" w:line="400" w:lineRule="exact"/>
              <w:rPr>
                <w:rFonts w:ascii="仿宋" w:hAnsi="仿宋" w:eastAsia="仿宋"/>
                <w:bCs/>
                <w:color w:val="000000" w:themeColor="text1"/>
                <w:sz w:val="24"/>
                <w14:textFill>
                  <w14:solidFill>
                    <w14:schemeClr w14:val="tx1"/>
                  </w14:solidFill>
                </w14:textFill>
              </w:rPr>
            </w:pPr>
            <w:r>
              <w:rPr>
                <w:rFonts w:ascii="Segoe UI Symbol" w:hAnsi="Segoe UI Symbol" w:eastAsia="仿宋" w:cs="Segoe UI Symbol"/>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有，</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w:t>
            </w:r>
          </w:p>
          <w:p w14:paraId="053D253D">
            <w:pPr>
              <w:pStyle w:val="8"/>
              <w:spacing w:after="0" w:line="400" w:lineRule="exact"/>
              <w:rPr>
                <w:rFonts w:ascii="仿宋" w:hAnsi="仿宋" w:eastAsia="仿宋"/>
                <w:bCs/>
                <w:color w:val="000000" w:themeColor="text1"/>
                <w:sz w:val="24"/>
                <w14:textFill>
                  <w14:solidFill>
                    <w14:schemeClr w14:val="tx1"/>
                  </w14:solidFill>
                </w14:textFill>
              </w:rPr>
            </w:pPr>
            <w:r>
              <w:rPr>
                <w:rFonts w:ascii="Segoe UI Symbol" w:hAnsi="Segoe UI Symbol" w:eastAsia="仿宋" w:cs="Segoe UI Symbol"/>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无</w:t>
            </w:r>
          </w:p>
        </w:tc>
      </w:tr>
      <w:tr w14:paraId="1F19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0128EA05">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三十五</w:t>
            </w:r>
          </w:p>
        </w:tc>
        <w:tc>
          <w:tcPr>
            <w:tcW w:w="1012" w:type="pct"/>
            <w:vAlign w:val="center"/>
          </w:tcPr>
          <w:p w14:paraId="19A67020">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实质性</w:t>
            </w:r>
            <w:r>
              <w:rPr>
                <w:rFonts w:ascii="仿宋" w:hAnsi="仿宋" w:eastAsia="仿宋"/>
                <w:bCs/>
                <w:color w:val="000000" w:themeColor="text1"/>
                <w:sz w:val="24"/>
                <w14:textFill>
                  <w14:solidFill>
                    <w14:schemeClr w14:val="tx1"/>
                  </w14:solidFill>
                </w14:textFill>
              </w:rPr>
              <w:t>要求和条件</w:t>
            </w:r>
          </w:p>
        </w:tc>
        <w:tc>
          <w:tcPr>
            <w:tcW w:w="3393" w:type="pct"/>
          </w:tcPr>
          <w:p w14:paraId="212838D8">
            <w:pPr>
              <w:pStyle w:val="8"/>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招标文件中</w:t>
            </w:r>
            <w:r>
              <w:rPr>
                <w:rFonts w:ascii="仿宋" w:hAnsi="仿宋" w:eastAsia="仿宋"/>
                <w:bCs/>
                <w:color w:val="000000" w:themeColor="text1"/>
                <w:sz w:val="24"/>
                <w14:textFill>
                  <w14:solidFill>
                    <w14:schemeClr w14:val="tx1"/>
                  </w14:solidFill>
                </w14:textFill>
              </w:rPr>
              <w:t>标</w:t>
            </w:r>
            <w:r>
              <w:rPr>
                <w:rFonts w:hint="eastAsia" w:ascii="仿宋" w:hAnsi="仿宋" w:eastAsia="仿宋"/>
                <w:bCs/>
                <w:color w:val="000000" w:themeColor="text1"/>
                <w:sz w:val="24"/>
                <w14:textFill>
                  <w14:solidFill>
                    <w14:schemeClr w14:val="tx1"/>
                  </w14:solidFill>
                </w14:textFill>
              </w:rPr>
              <w:t>★条款</w:t>
            </w:r>
            <w:r>
              <w:rPr>
                <w:rFonts w:ascii="仿宋" w:hAnsi="仿宋" w:eastAsia="仿宋"/>
                <w:bCs/>
                <w:color w:val="000000" w:themeColor="text1"/>
                <w:sz w:val="24"/>
                <w14:textFill>
                  <w14:solidFill>
                    <w14:schemeClr w14:val="tx1"/>
                  </w14:solidFill>
                </w14:textFill>
              </w:rPr>
              <w:t>均为实质性</w:t>
            </w:r>
            <w:r>
              <w:rPr>
                <w:rFonts w:hint="eastAsia" w:ascii="仿宋" w:hAnsi="仿宋" w:eastAsia="仿宋"/>
                <w:bCs/>
                <w:color w:val="000000" w:themeColor="text1"/>
                <w:sz w:val="24"/>
                <w14:textFill>
                  <w14:solidFill>
                    <w14:schemeClr w14:val="tx1"/>
                  </w14:solidFill>
                </w14:textFill>
              </w:rPr>
              <w:t>条款，</w:t>
            </w:r>
            <w:r>
              <w:rPr>
                <w:rFonts w:ascii="仿宋" w:hAnsi="仿宋" w:eastAsia="仿宋"/>
                <w:bCs/>
                <w:color w:val="000000" w:themeColor="text1"/>
                <w:sz w:val="24"/>
                <w14:textFill>
                  <w14:solidFill>
                    <w14:schemeClr w14:val="tx1"/>
                  </w14:solidFill>
                </w14:textFill>
              </w:rPr>
              <w:t>一项不满足即为无效投标。</w:t>
            </w:r>
          </w:p>
        </w:tc>
      </w:tr>
      <w:tr w14:paraId="3AE4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70813781">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三十六</w:t>
            </w:r>
          </w:p>
        </w:tc>
        <w:tc>
          <w:tcPr>
            <w:tcW w:w="1012" w:type="pct"/>
            <w:vAlign w:val="center"/>
          </w:tcPr>
          <w:p w14:paraId="283B3D2F">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★废标</w:t>
            </w:r>
            <w:r>
              <w:rPr>
                <w:rFonts w:ascii="仿宋" w:hAnsi="仿宋" w:eastAsia="仿宋"/>
                <w:bCs/>
                <w:color w:val="000000" w:themeColor="text1"/>
                <w:sz w:val="24"/>
                <w14:textFill>
                  <w14:solidFill>
                    <w14:schemeClr w14:val="tx1"/>
                  </w14:solidFill>
                </w14:textFill>
              </w:rPr>
              <w:t>条款</w:t>
            </w:r>
          </w:p>
        </w:tc>
        <w:tc>
          <w:tcPr>
            <w:tcW w:w="3393" w:type="pct"/>
          </w:tcPr>
          <w:p w14:paraId="2399463F">
            <w:pPr>
              <w:pStyle w:val="6"/>
              <w:snapToGrid w:val="0"/>
              <w:spacing w:line="400" w:lineRule="exact"/>
              <w:ind w:firstLine="448" w:firstLineChars="187"/>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1</w:t>
            </w:r>
            <w:r>
              <w:rPr>
                <w:rFonts w:ascii="仿宋" w:hAnsi="仿宋"/>
                <w:bCs/>
                <w:color w:val="000000" w:themeColor="text1"/>
                <w14:textFill>
                  <w14:solidFill>
                    <w14:schemeClr w14:val="tx1"/>
                  </w14:solidFill>
                </w14:textFill>
              </w:rPr>
              <w:t>.</w:t>
            </w:r>
            <w:r>
              <w:rPr>
                <w:rFonts w:hint="eastAsia" w:ascii="仿宋" w:hAnsi="仿宋"/>
                <w:bCs/>
                <w:color w:val="000000" w:themeColor="text1"/>
                <w14:textFill>
                  <w14:solidFill>
                    <w14:schemeClr w14:val="tx1"/>
                  </w14:solidFill>
                </w14:textFill>
              </w:rPr>
              <w:t>符合专业条件的投标人或者对招标文件作实质响应的投标人不足三家；</w:t>
            </w:r>
          </w:p>
          <w:p w14:paraId="4A28A146">
            <w:pPr>
              <w:pStyle w:val="6"/>
              <w:snapToGrid w:val="0"/>
              <w:spacing w:line="400" w:lineRule="exact"/>
              <w:ind w:firstLine="448" w:firstLineChars="187"/>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2</w:t>
            </w:r>
            <w:r>
              <w:rPr>
                <w:rFonts w:ascii="仿宋" w:hAnsi="仿宋"/>
                <w:bCs/>
                <w:color w:val="000000" w:themeColor="text1"/>
                <w14:textFill>
                  <w14:solidFill>
                    <w14:schemeClr w14:val="tx1"/>
                  </w14:solidFill>
                </w14:textFill>
              </w:rPr>
              <w:t>.</w:t>
            </w:r>
            <w:r>
              <w:rPr>
                <w:rFonts w:hint="eastAsia" w:ascii="仿宋" w:hAnsi="仿宋"/>
                <w:bCs/>
                <w:color w:val="000000" w:themeColor="text1"/>
                <w14:textFill>
                  <w14:solidFill>
                    <w14:schemeClr w14:val="tx1"/>
                  </w14:solidFill>
                </w14:textFill>
              </w:rPr>
              <w:t>出现影响采购公正的违法、违规行为；</w:t>
            </w:r>
          </w:p>
          <w:p w14:paraId="7BCB3195">
            <w:pPr>
              <w:pStyle w:val="6"/>
              <w:snapToGrid w:val="0"/>
              <w:spacing w:line="400" w:lineRule="exact"/>
              <w:ind w:firstLine="448" w:firstLineChars="187"/>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3</w:t>
            </w:r>
            <w:r>
              <w:rPr>
                <w:rFonts w:ascii="仿宋" w:hAnsi="仿宋"/>
                <w:bCs/>
                <w:color w:val="000000" w:themeColor="text1"/>
                <w14:textFill>
                  <w14:solidFill>
                    <w14:schemeClr w14:val="tx1"/>
                  </w14:solidFill>
                </w14:textFill>
              </w:rPr>
              <w:t>.</w:t>
            </w:r>
            <w:r>
              <w:rPr>
                <w:rFonts w:hint="eastAsia" w:ascii="仿宋" w:hAnsi="仿宋"/>
                <w:bCs/>
                <w:color w:val="000000" w:themeColor="text1"/>
                <w14:textFill>
                  <w14:solidFill>
                    <w14:schemeClr w14:val="tx1"/>
                  </w14:solidFill>
                </w14:textFill>
              </w:rPr>
              <w:t>投标人的报价均超过最高限价，采购人不能支付；</w:t>
            </w:r>
          </w:p>
          <w:p w14:paraId="03A70E84">
            <w:pPr>
              <w:pStyle w:val="6"/>
              <w:snapToGrid w:val="0"/>
              <w:spacing w:line="400" w:lineRule="exact"/>
              <w:ind w:firstLine="448" w:firstLineChars="187"/>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4</w:t>
            </w:r>
            <w:r>
              <w:rPr>
                <w:rFonts w:ascii="仿宋" w:hAnsi="仿宋"/>
                <w:bCs/>
                <w:color w:val="000000" w:themeColor="text1"/>
                <w14:textFill>
                  <w14:solidFill>
                    <w14:schemeClr w14:val="tx1"/>
                  </w14:solidFill>
                </w14:textFill>
              </w:rPr>
              <w:t>.</w:t>
            </w:r>
            <w:r>
              <w:rPr>
                <w:rFonts w:hint="eastAsia" w:ascii="仿宋" w:hAnsi="仿宋"/>
                <w:bCs/>
                <w:color w:val="000000" w:themeColor="text1"/>
                <w14:textFill>
                  <w14:solidFill>
                    <w14:schemeClr w14:val="tx1"/>
                  </w14:solidFill>
                </w14:textFill>
              </w:rPr>
              <w:t>因重大变故，采购任务取消。</w:t>
            </w:r>
          </w:p>
        </w:tc>
      </w:tr>
      <w:tr w14:paraId="2065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0F79C5F8">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三十七</w:t>
            </w:r>
          </w:p>
        </w:tc>
        <w:tc>
          <w:tcPr>
            <w:tcW w:w="1012" w:type="pct"/>
            <w:vAlign w:val="center"/>
          </w:tcPr>
          <w:p w14:paraId="4DAC6534">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★无效投标</w:t>
            </w:r>
          </w:p>
        </w:tc>
        <w:tc>
          <w:tcPr>
            <w:tcW w:w="3393" w:type="pct"/>
            <w:vAlign w:val="center"/>
          </w:tcPr>
          <w:p w14:paraId="2D10E259">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1.投标文件未按招标文件要求装订、签署、盖章的；</w:t>
            </w:r>
          </w:p>
          <w:p w14:paraId="7BC8290D">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2.未按招标文件要求递交资格证明文件的或递交的资格证明文件不全的；</w:t>
            </w:r>
          </w:p>
          <w:p w14:paraId="0093CE4B">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3.投标报价超过招标文件中规定最高限价的；</w:t>
            </w:r>
          </w:p>
          <w:p w14:paraId="321A71C0">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4.在投标</w:t>
            </w:r>
            <w:r>
              <w:rPr>
                <w:rFonts w:ascii="仿宋" w:hAnsi="仿宋"/>
                <w:bCs/>
                <w:color w:val="000000" w:themeColor="text1"/>
                <w14:textFill>
                  <w14:solidFill>
                    <w14:schemeClr w14:val="tx1"/>
                  </w14:solidFill>
                </w14:textFill>
              </w:rPr>
              <w:t>截止时间后送达投标文件的；</w:t>
            </w:r>
          </w:p>
          <w:p w14:paraId="3B8A94D6">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5</w:t>
            </w:r>
            <w:r>
              <w:rPr>
                <w:rFonts w:ascii="仿宋" w:hAnsi="仿宋"/>
                <w:bCs/>
                <w:color w:val="000000" w:themeColor="text1"/>
                <w14:textFill>
                  <w14:solidFill>
                    <w14:schemeClr w14:val="tx1"/>
                  </w14:solidFill>
                </w14:textFill>
              </w:rPr>
              <w:t>.</w:t>
            </w:r>
            <w:r>
              <w:rPr>
                <w:rFonts w:hint="eastAsia" w:ascii="仿宋" w:hAnsi="仿宋"/>
                <w:bCs/>
                <w:color w:val="000000" w:themeColor="text1"/>
                <w14:textFill>
                  <w14:solidFill>
                    <w14:schemeClr w14:val="tx1"/>
                  </w14:solidFill>
                </w14:textFill>
              </w:rPr>
              <w:t>服务期、服务地点不满足招标文件的；</w:t>
            </w:r>
          </w:p>
          <w:p w14:paraId="4E7CB786">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6</w:t>
            </w:r>
            <w:r>
              <w:rPr>
                <w:rFonts w:hint="eastAsia" w:ascii="仿宋" w:hAnsi="仿宋"/>
                <w:bCs/>
                <w:color w:val="000000" w:themeColor="text1"/>
                <w14:textFill>
                  <w14:solidFill>
                    <w14:schemeClr w14:val="tx1"/>
                  </w14:solidFill>
                </w14:textFill>
              </w:rPr>
              <w:t>.投标文件未按招标文件要求编制，出现影响评审结果的实质性格式、形式问题的；</w:t>
            </w:r>
          </w:p>
          <w:p w14:paraId="21996B18">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7</w:t>
            </w:r>
            <w:r>
              <w:rPr>
                <w:rFonts w:hint="eastAsia" w:ascii="仿宋" w:hAnsi="仿宋"/>
                <w:bCs/>
                <w:color w:val="000000" w:themeColor="text1"/>
                <w14:textFill>
                  <w14:solidFill>
                    <w14:schemeClr w14:val="tx1"/>
                  </w14:solidFill>
                </w14:textFill>
              </w:rPr>
              <w:t>.投标人未整包投标的、选择性报价的；</w:t>
            </w:r>
          </w:p>
          <w:p w14:paraId="15AE4246">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8</w:t>
            </w:r>
            <w:r>
              <w:rPr>
                <w:rFonts w:hint="eastAsia" w:ascii="仿宋" w:hAnsi="仿宋"/>
                <w:bCs/>
                <w:color w:val="000000" w:themeColor="text1"/>
                <w14:textFill>
                  <w14:solidFill>
                    <w14:schemeClr w14:val="tx1"/>
                  </w14:solidFill>
                </w14:textFill>
              </w:rPr>
              <w:t>.投标有效期不足的；</w:t>
            </w:r>
          </w:p>
          <w:p w14:paraId="59314701">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9</w:t>
            </w:r>
            <w:r>
              <w:rPr>
                <w:rFonts w:hint="eastAsia" w:ascii="仿宋" w:hAnsi="仿宋"/>
                <w:bCs/>
                <w:color w:val="000000" w:themeColor="text1"/>
                <w14:textFill>
                  <w14:solidFill>
                    <w14:schemeClr w14:val="tx1"/>
                  </w14:solidFill>
                </w14:textFill>
              </w:rPr>
              <w:t>.投标人在投标文件中提供虚假材料的；</w:t>
            </w:r>
          </w:p>
          <w:p w14:paraId="527DC775">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10</w:t>
            </w:r>
            <w:r>
              <w:rPr>
                <w:rFonts w:hint="eastAsia" w:ascii="仿宋" w:hAnsi="仿宋"/>
                <w:bCs/>
                <w:color w:val="000000" w:themeColor="text1"/>
                <w14:textFill>
                  <w14:solidFill>
                    <w14:schemeClr w14:val="tx1"/>
                  </w14:solidFill>
                </w14:textFill>
              </w:rPr>
              <w:t>.投标文件电子版未按招标文件要求提交、与投标文件正本不一致的；</w:t>
            </w:r>
          </w:p>
          <w:p w14:paraId="3E59A207">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1</w:t>
            </w:r>
            <w:r>
              <w:rPr>
                <w:rFonts w:ascii="仿宋" w:hAnsi="仿宋"/>
                <w:bCs/>
                <w:color w:val="000000" w:themeColor="text1"/>
                <w14:textFill>
                  <w14:solidFill>
                    <w14:schemeClr w14:val="tx1"/>
                  </w14:solidFill>
                </w14:textFill>
              </w:rPr>
              <w:t>1</w:t>
            </w:r>
            <w:r>
              <w:rPr>
                <w:rFonts w:hint="eastAsia" w:ascii="仿宋" w:hAnsi="仿宋"/>
                <w:bCs/>
                <w:color w:val="000000" w:themeColor="text1"/>
                <w14:textFill>
                  <w14:solidFill>
                    <w14:schemeClr w14:val="tx1"/>
                  </w14:solidFill>
                </w14:textFill>
              </w:rPr>
              <w:t>.单位</w:t>
            </w:r>
            <w:r>
              <w:rPr>
                <w:rFonts w:ascii="仿宋" w:hAnsi="仿宋"/>
                <w:bCs/>
                <w:color w:val="000000" w:themeColor="text1"/>
                <w14:textFill>
                  <w14:solidFill>
                    <w14:schemeClr w14:val="tx1"/>
                  </w14:solidFill>
                </w14:textFill>
              </w:rPr>
              <w:t>负责人</w:t>
            </w:r>
            <w:r>
              <w:rPr>
                <w:rFonts w:hint="eastAsia" w:ascii="仿宋" w:hAnsi="仿宋"/>
                <w:bCs/>
                <w:color w:val="000000" w:themeColor="text1"/>
                <w14:textFill>
                  <w14:solidFill>
                    <w14:schemeClr w14:val="tx1"/>
                  </w14:solidFill>
                </w14:textFill>
              </w:rPr>
              <w:t>为</w:t>
            </w:r>
            <w:r>
              <w:rPr>
                <w:rFonts w:ascii="仿宋" w:hAnsi="仿宋"/>
                <w:bCs/>
                <w:color w:val="000000" w:themeColor="text1"/>
                <w14:textFill>
                  <w14:solidFill>
                    <w14:schemeClr w14:val="tx1"/>
                  </w14:solidFill>
                </w14:textFill>
              </w:rPr>
              <w:t>同一人或者存在直接控股、管理关系的不同投标人，参加同一合同下的采购活动的；</w:t>
            </w:r>
          </w:p>
          <w:p w14:paraId="0FA9CE2C">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12.</w:t>
            </w:r>
            <w:r>
              <w:rPr>
                <w:rFonts w:hint="eastAsia" w:ascii="仿宋" w:hAnsi="仿宋"/>
                <w:bCs/>
                <w:color w:val="000000" w:themeColor="text1"/>
                <w14:textFill>
                  <w14:solidFill>
                    <w14:schemeClr w14:val="tx1"/>
                  </w14:solidFill>
                </w14:textFill>
              </w:rPr>
              <w:t>评标</w:t>
            </w:r>
            <w:r>
              <w:rPr>
                <w:rFonts w:ascii="仿宋" w:hAnsi="仿宋"/>
                <w:bCs/>
                <w:color w:val="000000" w:themeColor="text1"/>
                <w14:textFill>
                  <w14:solidFill>
                    <w14:schemeClr w14:val="tx1"/>
                  </w14:solidFill>
                </w14:textFill>
              </w:rPr>
              <w:t>期间投标人试图影响采购人、代理机构和评标委员会的任何活动的；</w:t>
            </w:r>
          </w:p>
          <w:p w14:paraId="0057297B">
            <w:pPr>
              <w:pStyle w:val="6"/>
              <w:snapToGrid w:val="0"/>
              <w:spacing w:line="400" w:lineRule="exact"/>
              <w:ind w:firstLine="475" w:firstLineChars="198"/>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1</w:t>
            </w:r>
            <w:r>
              <w:rPr>
                <w:rFonts w:ascii="仿宋" w:hAnsi="仿宋"/>
                <w:bCs/>
                <w:color w:val="000000" w:themeColor="text1"/>
                <w14:textFill>
                  <w14:solidFill>
                    <w14:schemeClr w14:val="tx1"/>
                  </w14:solidFill>
                </w14:textFill>
              </w:rPr>
              <w:t>3.</w:t>
            </w:r>
            <w:r>
              <w:rPr>
                <w:rFonts w:hint="eastAsia" w:ascii="仿宋" w:hAnsi="仿宋"/>
                <w:bCs/>
                <w:color w:val="000000" w:themeColor="text1"/>
                <w14:textFill>
                  <w14:solidFill>
                    <w14:schemeClr w14:val="tx1"/>
                  </w14:solidFill>
                </w14:textFill>
              </w:rPr>
              <w:t>投标文件含有采购人不能接受的附加条件的;</w:t>
            </w:r>
          </w:p>
          <w:p w14:paraId="69B358E0">
            <w:pPr>
              <w:pStyle w:val="8"/>
              <w:spacing w:after="0" w:line="400" w:lineRule="exact"/>
              <w:ind w:firstLine="475" w:firstLineChars="198"/>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w:t>
            </w:r>
            <w:r>
              <w:rPr>
                <w:rFonts w:ascii="仿宋" w:hAnsi="仿宋" w:eastAsia="仿宋"/>
                <w:bCs/>
                <w:color w:val="000000" w:themeColor="text1"/>
                <w:sz w:val="24"/>
                <w14:textFill>
                  <w14:solidFill>
                    <w14:schemeClr w14:val="tx1"/>
                  </w14:solidFill>
                </w14:textFill>
              </w:rPr>
              <w:t>4.</w:t>
            </w:r>
            <w:r>
              <w:rPr>
                <w:rFonts w:hint="eastAsia" w:ascii="仿宋" w:hAnsi="仿宋" w:eastAsia="仿宋"/>
                <w:bCs/>
                <w:color w:val="000000" w:themeColor="text1"/>
                <w:sz w:val="24"/>
                <w14:textFill>
                  <w14:solidFill>
                    <w14:schemeClr w14:val="tx1"/>
                  </w14:solidFill>
                </w14:textFill>
              </w:rPr>
              <w:t>法律、法规和招标文件规定的其他无效情形。</w:t>
            </w:r>
          </w:p>
        </w:tc>
      </w:tr>
      <w:tr w14:paraId="3AF8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0C3E6104">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三十八</w:t>
            </w:r>
          </w:p>
        </w:tc>
        <w:tc>
          <w:tcPr>
            <w:tcW w:w="1012" w:type="pct"/>
            <w:vAlign w:val="center"/>
          </w:tcPr>
          <w:p w14:paraId="501C91A5">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★串通投标</w:t>
            </w:r>
          </w:p>
        </w:tc>
        <w:tc>
          <w:tcPr>
            <w:tcW w:w="3393" w:type="pct"/>
          </w:tcPr>
          <w:p w14:paraId="294D0317">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有下列情形之一的，视为投标人串通投标，其投标无效：</w:t>
            </w:r>
          </w:p>
          <w:p w14:paraId="0A7C5FAD">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1</w:t>
            </w:r>
            <w:r>
              <w:rPr>
                <w:rFonts w:ascii="仿宋" w:hAnsi="仿宋"/>
                <w:bCs/>
                <w:color w:val="000000" w:themeColor="text1"/>
                <w14:textFill>
                  <w14:solidFill>
                    <w14:schemeClr w14:val="tx1"/>
                  </w14:solidFill>
                </w14:textFill>
              </w:rPr>
              <w:t>.</w:t>
            </w:r>
            <w:r>
              <w:rPr>
                <w:rFonts w:hint="eastAsia" w:ascii="仿宋" w:hAnsi="仿宋"/>
                <w:bCs/>
                <w:color w:val="000000" w:themeColor="text1"/>
                <w14:textFill>
                  <w14:solidFill>
                    <w14:schemeClr w14:val="tx1"/>
                  </w14:solidFill>
                </w14:textFill>
              </w:rPr>
              <w:t>不同投标人的投标文件由同一单位或者个人编制；</w:t>
            </w:r>
          </w:p>
          <w:p w14:paraId="606F2CEA">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2</w:t>
            </w:r>
            <w:r>
              <w:rPr>
                <w:rFonts w:ascii="仿宋" w:hAnsi="仿宋"/>
                <w:bCs/>
                <w:color w:val="000000" w:themeColor="text1"/>
                <w14:textFill>
                  <w14:solidFill>
                    <w14:schemeClr w14:val="tx1"/>
                  </w14:solidFill>
                </w14:textFill>
              </w:rPr>
              <w:t>.</w:t>
            </w:r>
            <w:r>
              <w:rPr>
                <w:rFonts w:hint="eastAsia" w:ascii="仿宋" w:hAnsi="仿宋"/>
                <w:bCs/>
                <w:color w:val="000000" w:themeColor="text1"/>
                <w14:textFill>
                  <w14:solidFill>
                    <w14:schemeClr w14:val="tx1"/>
                  </w14:solidFill>
                </w14:textFill>
              </w:rPr>
              <w:t>不同投标人委托同一单位或者个人办理投标事宜；</w:t>
            </w:r>
          </w:p>
          <w:p w14:paraId="241AE846">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3</w:t>
            </w:r>
            <w:r>
              <w:rPr>
                <w:rFonts w:ascii="仿宋" w:hAnsi="仿宋"/>
                <w:bCs/>
                <w:color w:val="000000" w:themeColor="text1"/>
                <w14:textFill>
                  <w14:solidFill>
                    <w14:schemeClr w14:val="tx1"/>
                  </w14:solidFill>
                </w14:textFill>
              </w:rPr>
              <w:t>.</w:t>
            </w:r>
            <w:r>
              <w:rPr>
                <w:rFonts w:hint="eastAsia" w:ascii="仿宋" w:hAnsi="仿宋"/>
                <w:bCs/>
                <w:color w:val="000000" w:themeColor="text1"/>
                <w14:textFill>
                  <w14:solidFill>
                    <w14:schemeClr w14:val="tx1"/>
                  </w14:solidFill>
                </w14:textFill>
              </w:rPr>
              <w:t>不同投标人的投标文件载明的项目管理成员或者联系人员为同一人；</w:t>
            </w:r>
          </w:p>
          <w:p w14:paraId="374D820C">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4</w:t>
            </w:r>
            <w:r>
              <w:rPr>
                <w:rFonts w:ascii="仿宋" w:hAnsi="仿宋"/>
                <w:bCs/>
                <w:color w:val="000000" w:themeColor="text1"/>
                <w14:textFill>
                  <w14:solidFill>
                    <w14:schemeClr w14:val="tx1"/>
                  </w14:solidFill>
                </w14:textFill>
              </w:rPr>
              <w:t>.</w:t>
            </w:r>
            <w:r>
              <w:rPr>
                <w:rFonts w:hint="eastAsia" w:ascii="仿宋" w:hAnsi="仿宋"/>
                <w:bCs/>
                <w:color w:val="000000" w:themeColor="text1"/>
                <w14:textFill>
                  <w14:solidFill>
                    <w14:schemeClr w14:val="tx1"/>
                  </w14:solidFill>
                </w14:textFill>
              </w:rPr>
              <w:t>不同投标人的投标文件异常一致或者投标报价呈规律性差异；</w:t>
            </w:r>
          </w:p>
          <w:p w14:paraId="3382DE2D">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5</w:t>
            </w:r>
            <w:r>
              <w:rPr>
                <w:rFonts w:ascii="仿宋" w:hAnsi="仿宋"/>
                <w:bCs/>
                <w:color w:val="000000" w:themeColor="text1"/>
                <w14:textFill>
                  <w14:solidFill>
                    <w14:schemeClr w14:val="tx1"/>
                  </w14:solidFill>
                </w14:textFill>
              </w:rPr>
              <w:t>.</w:t>
            </w:r>
            <w:r>
              <w:rPr>
                <w:rFonts w:hint="eastAsia" w:ascii="仿宋" w:hAnsi="仿宋"/>
                <w:bCs/>
                <w:color w:val="000000" w:themeColor="text1"/>
                <w14:textFill>
                  <w14:solidFill>
                    <w14:schemeClr w14:val="tx1"/>
                  </w14:solidFill>
                </w14:textFill>
              </w:rPr>
              <w:t>不同投标人的投标文件相互混装；</w:t>
            </w:r>
          </w:p>
          <w:p w14:paraId="730C53CF">
            <w:pPr>
              <w:pStyle w:val="8"/>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6</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不同投标人的投标保证金从同一单位或者个人的账户转出。</w:t>
            </w:r>
          </w:p>
        </w:tc>
      </w:tr>
      <w:tr w14:paraId="091C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04AD3067">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三十九</w:t>
            </w:r>
          </w:p>
        </w:tc>
        <w:tc>
          <w:tcPr>
            <w:tcW w:w="1012" w:type="pct"/>
            <w:vAlign w:val="center"/>
          </w:tcPr>
          <w:p w14:paraId="03268303">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开标</w:t>
            </w:r>
            <w:r>
              <w:rPr>
                <w:rFonts w:ascii="仿宋" w:hAnsi="仿宋" w:eastAsia="仿宋"/>
                <w:bCs/>
                <w:color w:val="000000" w:themeColor="text1"/>
                <w:sz w:val="24"/>
                <w14:textFill>
                  <w14:solidFill>
                    <w14:schemeClr w14:val="tx1"/>
                  </w14:solidFill>
                </w14:textFill>
              </w:rPr>
              <w:t>程序</w:t>
            </w:r>
          </w:p>
        </w:tc>
        <w:tc>
          <w:tcPr>
            <w:tcW w:w="3393" w:type="pct"/>
          </w:tcPr>
          <w:p w14:paraId="38CFDB72">
            <w:pPr>
              <w:pStyle w:val="6"/>
              <w:snapToGrid w:val="0"/>
              <w:spacing w:line="400" w:lineRule="exact"/>
              <w:ind w:firstLine="480" w:firstLineChars="200"/>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1.宣布开标纪律；</w:t>
            </w:r>
          </w:p>
          <w:p w14:paraId="192272DE">
            <w:pPr>
              <w:pStyle w:val="6"/>
              <w:snapToGrid w:val="0"/>
              <w:spacing w:line="400" w:lineRule="exact"/>
              <w:ind w:firstLine="480" w:firstLineChars="200"/>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2</w:t>
            </w:r>
            <w:r>
              <w:rPr>
                <w:rFonts w:hint="eastAsia" w:ascii="仿宋" w:hAnsi="仿宋"/>
                <w:bCs/>
                <w:color w:val="000000" w:themeColor="text1"/>
                <w14:textFill>
                  <w14:solidFill>
                    <w14:schemeClr w14:val="tx1"/>
                  </w14:solidFill>
                </w14:textFill>
              </w:rPr>
              <w:t>.公布在投标截止时间前递交投标文件的投标人名称；</w:t>
            </w:r>
          </w:p>
          <w:p w14:paraId="599D68F1">
            <w:pPr>
              <w:pStyle w:val="6"/>
              <w:snapToGrid w:val="0"/>
              <w:spacing w:line="400" w:lineRule="exact"/>
              <w:ind w:firstLine="480" w:firstLineChars="200"/>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3</w:t>
            </w:r>
            <w:r>
              <w:rPr>
                <w:rFonts w:hint="eastAsia" w:ascii="仿宋" w:hAnsi="仿宋"/>
                <w:bCs/>
                <w:color w:val="000000" w:themeColor="text1"/>
                <w14:textFill>
                  <w14:solidFill>
                    <w14:schemeClr w14:val="tx1"/>
                  </w14:solidFill>
                </w14:textFill>
              </w:rPr>
              <w:t xml:space="preserve">.由投标人或者其推选的代表检查投标文件的密封情况；经确认无误后，由采购人或者采购代理机构工作人员当众拆封，宣布投标人名称、投标价格和招标文件规定的需要宣布的其他内容； </w:t>
            </w:r>
          </w:p>
          <w:p w14:paraId="06CFCB88">
            <w:pPr>
              <w:pStyle w:val="6"/>
              <w:snapToGrid w:val="0"/>
              <w:spacing w:line="400" w:lineRule="exact"/>
              <w:ind w:firstLine="480" w:firstLineChars="200"/>
              <w:rPr>
                <w:rFonts w:ascii="仿宋" w:hAnsi="仿宋"/>
                <w:bCs/>
                <w:color w:val="000000" w:themeColor="text1"/>
                <w14:textFill>
                  <w14:solidFill>
                    <w14:schemeClr w14:val="tx1"/>
                  </w14:solidFill>
                </w14:textFill>
              </w:rPr>
            </w:pPr>
            <w:r>
              <w:rPr>
                <w:rFonts w:ascii="仿宋" w:hAnsi="仿宋"/>
                <w:bCs/>
                <w:color w:val="000000" w:themeColor="text1"/>
                <w14:textFill>
                  <w14:solidFill>
                    <w14:schemeClr w14:val="tx1"/>
                  </w14:solidFill>
                </w14:textFill>
              </w:rPr>
              <w:t>4</w:t>
            </w:r>
            <w:r>
              <w:rPr>
                <w:rFonts w:hint="eastAsia" w:ascii="仿宋" w:hAnsi="仿宋"/>
                <w:bCs/>
                <w:color w:val="000000" w:themeColor="text1"/>
                <w14:textFill>
                  <w14:solidFill>
                    <w14:schemeClr w14:val="tx1"/>
                  </w14:solidFill>
                </w14:textFill>
              </w:rPr>
              <w:t>.开标过程由采购代理机构工作人员负责记录，由参加开标的各投标人代表和相关工作人员签字确认；</w:t>
            </w:r>
          </w:p>
          <w:p w14:paraId="777CC847">
            <w:pPr>
              <w:pStyle w:val="8"/>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5</w:t>
            </w:r>
            <w:r>
              <w:rPr>
                <w:rFonts w:hint="eastAsia" w:ascii="仿宋" w:hAnsi="仿宋" w:eastAsia="仿宋"/>
                <w:bCs/>
                <w:color w:val="000000" w:themeColor="text1"/>
                <w:sz w:val="24"/>
                <w14:textFill>
                  <w14:solidFill>
                    <w14:schemeClr w14:val="tx1"/>
                  </w14:solidFill>
                </w14:textFill>
              </w:rPr>
              <w:t>.开标结束。</w:t>
            </w:r>
          </w:p>
        </w:tc>
      </w:tr>
      <w:tr w14:paraId="7FA0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263F7E1D">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四十</w:t>
            </w:r>
          </w:p>
        </w:tc>
        <w:tc>
          <w:tcPr>
            <w:tcW w:w="1012" w:type="pct"/>
            <w:vAlign w:val="center"/>
          </w:tcPr>
          <w:p w14:paraId="6CD5F7C6">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评标委员会</w:t>
            </w:r>
            <w:r>
              <w:rPr>
                <w:rFonts w:ascii="仿宋" w:hAnsi="仿宋" w:eastAsia="仿宋"/>
                <w:bCs/>
                <w:color w:val="000000" w:themeColor="text1"/>
                <w:sz w:val="24"/>
                <w14:textFill>
                  <w14:solidFill>
                    <w14:schemeClr w14:val="tx1"/>
                  </w14:solidFill>
                </w14:textFill>
              </w:rPr>
              <w:t>的</w:t>
            </w:r>
            <w:r>
              <w:rPr>
                <w:rFonts w:hint="eastAsia" w:ascii="仿宋" w:hAnsi="仿宋" w:eastAsia="仿宋"/>
                <w:bCs/>
                <w:color w:val="000000" w:themeColor="text1"/>
                <w:sz w:val="24"/>
                <w14:textFill>
                  <w14:solidFill>
                    <w14:schemeClr w14:val="tx1"/>
                  </w14:solidFill>
                </w14:textFill>
              </w:rPr>
              <w:t>组建</w:t>
            </w:r>
          </w:p>
        </w:tc>
        <w:tc>
          <w:tcPr>
            <w:tcW w:w="3393" w:type="pct"/>
          </w:tcPr>
          <w:p w14:paraId="678F4D94">
            <w:pPr>
              <w:pStyle w:val="8"/>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评标委员会按《政府采购货物</w:t>
            </w:r>
            <w:r>
              <w:rPr>
                <w:rFonts w:ascii="仿宋" w:hAnsi="仿宋" w:eastAsia="仿宋"/>
                <w:bCs/>
                <w:color w:val="000000" w:themeColor="text1"/>
                <w:sz w:val="24"/>
                <w14:textFill>
                  <w14:solidFill>
                    <w14:schemeClr w14:val="tx1"/>
                  </w14:solidFill>
                </w14:textFill>
              </w:rPr>
              <w:t>和服务</w:t>
            </w:r>
            <w:r>
              <w:rPr>
                <w:rFonts w:hint="eastAsia" w:ascii="仿宋" w:hAnsi="仿宋" w:eastAsia="仿宋"/>
                <w:bCs/>
                <w:color w:val="000000" w:themeColor="text1"/>
                <w:sz w:val="24"/>
                <w14:textFill>
                  <w14:solidFill>
                    <w14:schemeClr w14:val="tx1"/>
                  </w14:solidFill>
                </w14:textFill>
              </w:rPr>
              <w:t>招标投标</w:t>
            </w:r>
            <w:r>
              <w:rPr>
                <w:rFonts w:ascii="仿宋" w:hAnsi="仿宋" w:eastAsia="仿宋"/>
                <w:bCs/>
                <w:color w:val="000000" w:themeColor="text1"/>
                <w:sz w:val="24"/>
                <w14:textFill>
                  <w14:solidFill>
                    <w14:schemeClr w14:val="tx1"/>
                  </w14:solidFill>
                </w14:textFill>
              </w:rPr>
              <w:t>管理</w:t>
            </w:r>
            <w:r>
              <w:rPr>
                <w:rFonts w:hint="eastAsia" w:ascii="仿宋" w:hAnsi="仿宋" w:eastAsia="仿宋"/>
                <w:bCs/>
                <w:color w:val="000000" w:themeColor="text1"/>
                <w:sz w:val="24"/>
                <w14:textFill>
                  <w14:solidFill>
                    <w14:schemeClr w14:val="tx1"/>
                  </w14:solidFill>
                </w14:textFill>
              </w:rPr>
              <w:t>办法》第</w:t>
            </w:r>
            <w:r>
              <w:rPr>
                <w:rFonts w:ascii="仿宋" w:hAnsi="仿宋" w:eastAsia="仿宋"/>
                <w:bCs/>
                <w:color w:val="000000" w:themeColor="text1"/>
                <w:sz w:val="24"/>
                <w14:textFill>
                  <w14:solidFill>
                    <w14:schemeClr w14:val="tx1"/>
                  </w14:solidFill>
                </w14:textFill>
              </w:rPr>
              <w:t>四十七条规定</w:t>
            </w:r>
            <w:r>
              <w:rPr>
                <w:rFonts w:hint="eastAsia" w:ascii="仿宋" w:hAnsi="仿宋" w:eastAsia="仿宋"/>
                <w:bCs/>
                <w:color w:val="000000" w:themeColor="text1"/>
                <w:sz w:val="24"/>
                <w14:textFill>
                  <w14:solidFill>
                    <w14:schemeClr w14:val="tx1"/>
                  </w14:solidFill>
                </w14:textFill>
              </w:rPr>
              <w:t>由采购人代表和相关专家组成，或由专家组成。</w:t>
            </w:r>
          </w:p>
        </w:tc>
      </w:tr>
      <w:tr w14:paraId="40D7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418ECB0E">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四十一</w:t>
            </w:r>
          </w:p>
        </w:tc>
        <w:tc>
          <w:tcPr>
            <w:tcW w:w="1012" w:type="pct"/>
            <w:vAlign w:val="center"/>
          </w:tcPr>
          <w:p w14:paraId="1E10ABDC">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评审结果公示</w:t>
            </w:r>
            <w:r>
              <w:rPr>
                <w:rFonts w:ascii="仿宋" w:hAnsi="仿宋" w:eastAsia="仿宋"/>
                <w:bCs/>
                <w:color w:val="000000" w:themeColor="text1"/>
                <w:sz w:val="24"/>
                <w14:textFill>
                  <w14:solidFill>
                    <w14:schemeClr w14:val="tx1"/>
                  </w14:solidFill>
                </w14:textFill>
              </w:rPr>
              <w:t>媒介及期限</w:t>
            </w:r>
          </w:p>
        </w:tc>
        <w:tc>
          <w:tcPr>
            <w:tcW w:w="3393" w:type="pct"/>
          </w:tcPr>
          <w:p w14:paraId="3CC96FB2">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公示媒体：</w:t>
            </w:r>
          </w:p>
          <w:p w14:paraId="16CEDDED">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中国招标投标公共服务平台</w:t>
            </w:r>
          </w:p>
          <w:p w14:paraId="192493E8">
            <w:pPr>
              <w:pStyle w:val="6"/>
              <w:snapToGrid w:val="0"/>
              <w:spacing w:line="400" w:lineRule="exact"/>
              <w:ind w:left="440" w:left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（网址：http://bulletin.cebpubservice.com/）</w:t>
            </w:r>
          </w:p>
          <w:p w14:paraId="2B4AF7B6">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内蒙古招标投标公共服务平台</w:t>
            </w:r>
          </w:p>
          <w:p w14:paraId="760DBF14">
            <w:pPr>
              <w:pStyle w:val="6"/>
              <w:snapToGrid w:val="0"/>
              <w:spacing w:line="400" w:lineRule="exact"/>
              <w:ind w:left="440" w:left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（网址： http://zbgg.nmgztb.com.cn/）</w:t>
            </w:r>
          </w:p>
          <w:p w14:paraId="009DCD40">
            <w:pPr>
              <w:pStyle w:val="8"/>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期限</w:t>
            </w:r>
            <w:r>
              <w:rPr>
                <w:rFonts w:ascii="仿宋" w:hAnsi="仿宋" w:eastAsia="仿宋"/>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1个</w:t>
            </w:r>
            <w:r>
              <w:rPr>
                <w:rFonts w:ascii="仿宋" w:hAnsi="仿宋" w:eastAsia="仿宋"/>
                <w:bCs/>
                <w:color w:val="000000" w:themeColor="text1"/>
                <w:sz w:val="24"/>
                <w14:textFill>
                  <w14:solidFill>
                    <w14:schemeClr w14:val="tx1"/>
                  </w14:solidFill>
                </w14:textFill>
              </w:rPr>
              <w:t>工作日</w:t>
            </w:r>
            <w:r>
              <w:rPr>
                <w:rFonts w:hint="eastAsia" w:ascii="仿宋" w:hAnsi="仿宋" w:eastAsia="仿宋"/>
                <w:bCs/>
                <w:color w:val="000000" w:themeColor="text1"/>
                <w:sz w:val="24"/>
                <w14:textFill>
                  <w14:solidFill>
                    <w14:schemeClr w14:val="tx1"/>
                  </w14:solidFill>
                </w14:textFill>
              </w:rPr>
              <w:t>。</w:t>
            </w:r>
          </w:p>
        </w:tc>
      </w:tr>
      <w:tr w14:paraId="0E6B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6EAA7526">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四十二</w:t>
            </w:r>
          </w:p>
        </w:tc>
        <w:tc>
          <w:tcPr>
            <w:tcW w:w="1012" w:type="pct"/>
            <w:vAlign w:val="center"/>
          </w:tcPr>
          <w:p w14:paraId="1C5D211A">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履约保证金</w:t>
            </w:r>
          </w:p>
        </w:tc>
        <w:tc>
          <w:tcPr>
            <w:tcW w:w="3393" w:type="pct"/>
          </w:tcPr>
          <w:p w14:paraId="238B9503">
            <w:pPr>
              <w:pStyle w:val="8"/>
              <w:spacing w:after="0" w:line="400" w:lineRule="exact"/>
              <w:rPr>
                <w:rFonts w:ascii="仿宋" w:hAnsi="仿宋" w:eastAsia="仿宋"/>
                <w:bCs/>
                <w:color w:val="000000" w:themeColor="text1"/>
                <w:sz w:val="24"/>
                <w14:textFill>
                  <w14:solidFill>
                    <w14:schemeClr w14:val="tx1"/>
                  </w14:solidFill>
                </w14:textFill>
              </w:rPr>
            </w:pPr>
            <w:r>
              <w:rPr>
                <w:rFonts w:ascii="Segoe UI Symbol" w:hAnsi="Segoe UI Symbol" w:eastAsia="仿宋" w:cs="Segoe UI Symbol"/>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有，</w:t>
            </w:r>
            <w:r>
              <w:rPr>
                <w:rFonts w:hint="eastAsia" w:ascii="仿宋" w:hAnsi="仿宋" w:eastAsia="仿宋"/>
                <w:bCs/>
                <w:color w:val="000000" w:themeColor="text1"/>
                <w:sz w:val="24"/>
                <w:u w:val="single"/>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w:t>
            </w:r>
          </w:p>
          <w:p w14:paraId="3BCBA44F">
            <w:pPr>
              <w:pStyle w:val="8"/>
              <w:spacing w:after="0" w:line="400" w:lineRule="exact"/>
              <w:rPr>
                <w:rFonts w:ascii="仿宋" w:hAnsi="仿宋" w:eastAsia="仿宋"/>
                <w:bCs/>
                <w:color w:val="000000" w:themeColor="text1"/>
                <w:sz w:val="24"/>
                <w14:textFill>
                  <w14:solidFill>
                    <w14:schemeClr w14:val="tx1"/>
                  </w14:solidFill>
                </w14:textFill>
              </w:rPr>
            </w:pPr>
            <w:r>
              <w:rPr>
                <w:rFonts w:ascii="Segoe UI Symbol" w:hAnsi="Segoe UI Symbol" w:eastAsia="仿宋" w:cs="Segoe UI Symbol"/>
                <w:bCs/>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无</w:t>
            </w:r>
          </w:p>
        </w:tc>
      </w:tr>
      <w:tr w14:paraId="484B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5A093E86">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四十三</w:t>
            </w:r>
          </w:p>
        </w:tc>
        <w:tc>
          <w:tcPr>
            <w:tcW w:w="1012" w:type="pct"/>
            <w:vAlign w:val="center"/>
          </w:tcPr>
          <w:p w14:paraId="2FB089F3">
            <w:pPr>
              <w:pStyle w:val="16"/>
              <w:spacing w:after="0" w:line="400" w:lineRule="exact"/>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w:t>
            </w:r>
            <w:r>
              <w:rPr>
                <w:rFonts w:ascii="仿宋" w:hAnsi="仿宋" w:eastAsia="仿宋"/>
                <w:bCs/>
                <w:color w:val="000000" w:themeColor="text1"/>
                <w:sz w:val="24"/>
                <w14:textFill>
                  <w14:solidFill>
                    <w14:schemeClr w14:val="tx1"/>
                  </w14:solidFill>
                </w14:textFill>
              </w:rPr>
              <w:t>信用信息查询</w:t>
            </w:r>
          </w:p>
        </w:tc>
        <w:tc>
          <w:tcPr>
            <w:tcW w:w="3393" w:type="pct"/>
          </w:tcPr>
          <w:p w14:paraId="176BB816">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1.查询渠道：</w:t>
            </w:r>
          </w:p>
          <w:p w14:paraId="1A81E748">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 xml:space="preserve">信用中国（www.creditchina.gov.cn）、中国政府采购网（www.ccgp.gov.cn） </w:t>
            </w:r>
          </w:p>
          <w:p w14:paraId="04926CFB">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2.信用查询开始时间及截止时间：</w:t>
            </w:r>
          </w:p>
          <w:p w14:paraId="006B9907">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开始查询时间：开标前</w:t>
            </w:r>
            <w:r>
              <w:rPr>
                <w:rFonts w:ascii="仿宋" w:hAnsi="仿宋"/>
                <w:bCs/>
                <w:color w:val="000000" w:themeColor="text1"/>
                <w14:textFill>
                  <w14:solidFill>
                    <w14:schemeClr w14:val="tx1"/>
                  </w14:solidFill>
                </w14:textFill>
              </w:rPr>
              <w:t>1</w:t>
            </w:r>
            <w:r>
              <w:rPr>
                <w:rFonts w:hint="eastAsia" w:ascii="仿宋" w:hAnsi="仿宋"/>
                <w:bCs/>
                <w:color w:val="000000" w:themeColor="text1"/>
                <w14:textFill>
                  <w14:solidFill>
                    <w14:schemeClr w14:val="tx1"/>
                  </w14:solidFill>
                </w14:textFill>
              </w:rPr>
              <w:t>日</w:t>
            </w:r>
          </w:p>
          <w:p w14:paraId="3ADA4BBA">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截止时间：开标评审结束前</w:t>
            </w:r>
          </w:p>
          <w:p w14:paraId="63980286">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3.留存方式：在信用信息查询截止时间时，以采购人或采购代理机构从“信用中国”和“中国政府采购网”查询的投标人信用信息查询记录和证据为准，打印留存作为依据；</w:t>
            </w:r>
          </w:p>
          <w:p w14:paraId="22A8FF01">
            <w:pPr>
              <w:pStyle w:val="8"/>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4.信用信息的使用规则：被列入中国政府采购网（www.ccgp.gov.cn）政府采购严重违法失信行为记录名单、信用中国网（www.cred-itchina.gov.cn）失信被执行人、重大税收违法案件当事人名单（重大税收违法失信主体）、政府采购严重违法失信名单的投标人为无效投标。</w:t>
            </w:r>
          </w:p>
        </w:tc>
      </w:tr>
      <w:tr w14:paraId="09F5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4BA9FC50">
            <w:pPr>
              <w:pStyle w:val="6"/>
              <w:snapToGrid w:val="0"/>
              <w:spacing w:line="400" w:lineRule="exact"/>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四十四</w:t>
            </w:r>
          </w:p>
        </w:tc>
        <w:tc>
          <w:tcPr>
            <w:tcW w:w="1012" w:type="pct"/>
            <w:vAlign w:val="center"/>
          </w:tcPr>
          <w:p w14:paraId="53416DFE">
            <w:pPr>
              <w:pStyle w:val="6"/>
              <w:snapToGrid w:val="0"/>
              <w:spacing w:line="400" w:lineRule="exact"/>
              <w:jc w:val="center"/>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采购</w:t>
            </w:r>
            <w:r>
              <w:rPr>
                <w:rFonts w:ascii="仿宋" w:hAnsi="仿宋"/>
                <w:bCs/>
                <w:color w:val="000000" w:themeColor="text1"/>
                <w14:textFill>
                  <w14:solidFill>
                    <w14:schemeClr w14:val="tx1"/>
                  </w14:solidFill>
                </w14:textFill>
              </w:rPr>
              <w:t>项目需落实的政府</w:t>
            </w:r>
            <w:r>
              <w:rPr>
                <w:rFonts w:hint="eastAsia" w:ascii="仿宋" w:hAnsi="仿宋"/>
                <w:bCs/>
                <w:color w:val="000000" w:themeColor="text1"/>
                <w14:textFill>
                  <w14:solidFill>
                    <w14:schemeClr w14:val="tx1"/>
                  </w14:solidFill>
                </w14:textFill>
              </w:rPr>
              <w:t>采购</w:t>
            </w:r>
            <w:r>
              <w:rPr>
                <w:rFonts w:ascii="仿宋" w:hAnsi="仿宋"/>
                <w:bCs/>
                <w:color w:val="000000" w:themeColor="text1"/>
                <w14:textFill>
                  <w14:solidFill>
                    <w14:schemeClr w14:val="tx1"/>
                  </w14:solidFill>
                </w14:textFill>
              </w:rPr>
              <w:t>政策</w:t>
            </w:r>
          </w:p>
        </w:tc>
        <w:tc>
          <w:tcPr>
            <w:tcW w:w="3393" w:type="pct"/>
            <w:vAlign w:val="center"/>
          </w:tcPr>
          <w:p w14:paraId="102581EB">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《财政部关于在政府采购活动中查询及使用信用记录有关问题的通知》（财库〔2016〕125号）。</w:t>
            </w:r>
          </w:p>
        </w:tc>
      </w:tr>
      <w:tr w14:paraId="1858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pct"/>
            <w:vAlign w:val="center"/>
          </w:tcPr>
          <w:p w14:paraId="3A29182C">
            <w:pPr>
              <w:pStyle w:val="6"/>
              <w:snapToGrid w:val="0"/>
              <w:spacing w:line="400" w:lineRule="exact"/>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四十五</w:t>
            </w:r>
          </w:p>
        </w:tc>
        <w:tc>
          <w:tcPr>
            <w:tcW w:w="1012" w:type="pct"/>
            <w:vAlign w:val="center"/>
          </w:tcPr>
          <w:p w14:paraId="55911418">
            <w:pPr>
              <w:pStyle w:val="6"/>
              <w:snapToGrid w:val="0"/>
              <w:spacing w:line="400" w:lineRule="exact"/>
              <w:jc w:val="center"/>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中标服务费</w:t>
            </w:r>
          </w:p>
        </w:tc>
        <w:tc>
          <w:tcPr>
            <w:tcW w:w="3393" w:type="pct"/>
            <w:vAlign w:val="center"/>
          </w:tcPr>
          <w:p w14:paraId="39BCBAD4">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中标服务费金额：贰万伍仟元整，由中标人支付。</w:t>
            </w:r>
          </w:p>
        </w:tc>
      </w:tr>
      <w:tr w14:paraId="3423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Pr>
          <w:p w14:paraId="3FA8F3B4">
            <w:pPr>
              <w:snapToGrid w:val="0"/>
              <w:spacing w:after="0"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注：1.投标报价包含一切与投标有关的费用；</w:t>
            </w:r>
          </w:p>
          <w:p w14:paraId="42222CF3">
            <w:pPr>
              <w:pStyle w:val="6"/>
              <w:snapToGrid w:val="0"/>
              <w:spacing w:line="400" w:lineRule="exact"/>
              <w:ind w:firstLine="480" w:firstLineChars="200"/>
              <w:jc w:val="left"/>
              <w:rPr>
                <w:rFonts w:ascii="仿宋" w:hAnsi="仿宋"/>
                <w:bCs/>
                <w:color w:val="000000" w:themeColor="text1"/>
                <w14:textFill>
                  <w14:solidFill>
                    <w14:schemeClr w14:val="tx1"/>
                  </w14:solidFill>
                </w14:textFill>
              </w:rPr>
            </w:pPr>
            <w:r>
              <w:rPr>
                <w:rFonts w:hint="eastAsia" w:ascii="仿宋" w:hAnsi="仿宋"/>
                <w:bCs/>
                <w:color w:val="000000" w:themeColor="text1"/>
                <w14:textFill>
                  <w14:solidFill>
                    <w14:schemeClr w14:val="tx1"/>
                  </w14:solidFill>
                </w14:textFill>
              </w:rPr>
              <w:t>2.采购过程中，中标人无论产生任何费用，采购人均不再支付中标人提出的任何增加的费用。</w:t>
            </w:r>
          </w:p>
        </w:tc>
      </w:tr>
      <w:bookmarkEnd w:id="14"/>
      <w:bookmarkEnd w:id="15"/>
    </w:tbl>
    <w:p w14:paraId="1A7B42A0">
      <w:pPr>
        <w:pStyle w:val="16"/>
        <w:ind w:left="1680"/>
        <w:rPr>
          <w:rFonts w:ascii="宋体" w:hAnsi="宋体" w:eastAsia="仿宋"/>
          <w:b/>
          <w:bCs/>
          <w:color w:val="000000" w:themeColor="text1"/>
          <w:sz w:val="24"/>
          <w14:textFill>
            <w14:solidFill>
              <w14:schemeClr w14:val="tx1"/>
            </w14:solidFill>
          </w14:textFill>
        </w:rPr>
      </w:pPr>
    </w:p>
    <w:p w14:paraId="5A4EA636">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1D1EABB8">
      <w:pPr>
        <w:pStyle w:val="3"/>
        <w:ind w:firstLine="562"/>
      </w:pPr>
      <w:bookmarkStart w:id="22" w:name="_Toc204689872"/>
      <w:r>
        <w:rPr>
          <w:rFonts w:hint="eastAsia"/>
        </w:rPr>
        <w:t>一、总则</w:t>
      </w:r>
      <w:bookmarkEnd w:id="22"/>
    </w:p>
    <w:p w14:paraId="3CAE7E1F">
      <w:pPr>
        <w:pStyle w:val="4"/>
        <w:ind w:firstLine="560"/>
        <w:rPr>
          <w:rFonts w:ascii="仿宋" w:hAnsi="仿宋"/>
          <w:szCs w:val="28"/>
        </w:rPr>
      </w:pPr>
      <w:bookmarkStart w:id="23" w:name="_Toc204689873"/>
      <w:r>
        <w:rPr>
          <w:rFonts w:ascii="仿宋" w:hAnsi="仿宋"/>
          <w:szCs w:val="28"/>
        </w:rPr>
        <w:t>（一）定义</w:t>
      </w:r>
      <w:bookmarkEnd w:id="23"/>
    </w:p>
    <w:p w14:paraId="0D2941A8">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1.采购人：是指赤峰市医院。</w:t>
      </w:r>
    </w:p>
    <w:p w14:paraId="02C88E12">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2.采购代理机构：指组织本次招标活动的代理机构—北京明世继元招标有限公司。</w:t>
      </w:r>
    </w:p>
    <w:p w14:paraId="62FEF951">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3.证件原件：是指原发证机关所发证件，扫描件、公证件及加盖公章的复印件、彩喷件一律不视为原件。</w:t>
      </w:r>
    </w:p>
    <w:p w14:paraId="6AAF7BC8">
      <w:pPr>
        <w:pStyle w:val="4"/>
        <w:ind w:firstLine="560"/>
        <w:rPr>
          <w:rFonts w:ascii="仿宋" w:hAnsi="仿宋"/>
          <w:szCs w:val="28"/>
        </w:rPr>
      </w:pPr>
      <w:bookmarkStart w:id="24" w:name="_Toc204689874"/>
      <w:r>
        <w:rPr>
          <w:rFonts w:ascii="仿宋" w:hAnsi="仿宋"/>
          <w:szCs w:val="28"/>
        </w:rPr>
        <w:t>（二）采购项目概况</w:t>
      </w:r>
      <w:bookmarkEnd w:id="24"/>
    </w:p>
    <w:p w14:paraId="692C92F4">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1.依据《赤峰市医院采购管理制度》、《企业年金管理办法》、《企业年金办法》等有关法律、法规和规章制度编制本次招标文件，本采购项目已具备招标条件，现对本项目进行招标。</w:t>
      </w:r>
      <w:bookmarkStart w:id="25" w:name="_Hlk40885959"/>
    </w:p>
    <w:p w14:paraId="6E0E78AC">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2.采购人：详见“投标人须知前附表”。</w:t>
      </w:r>
    </w:p>
    <w:bookmarkEnd w:id="25"/>
    <w:p w14:paraId="3C385D1D">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3.采购代理机构：</w:t>
      </w:r>
      <w:bookmarkStart w:id="26" w:name="_Hlk41306321"/>
      <w:r>
        <w:rPr>
          <w:rFonts w:hint="eastAsia" w:ascii="仿宋" w:hAnsi="仿宋" w:eastAsia="仿宋"/>
          <w:color w:val="000000" w:themeColor="text1"/>
          <w14:textFill>
            <w14:solidFill>
              <w14:schemeClr w14:val="tx1"/>
            </w14:solidFill>
          </w14:textFill>
        </w:rPr>
        <w:t>详见“投标人须知前附表”</w:t>
      </w:r>
      <w:bookmarkEnd w:id="26"/>
      <w:r>
        <w:rPr>
          <w:rFonts w:hint="eastAsia" w:ascii="仿宋" w:hAnsi="仿宋" w:eastAsia="仿宋"/>
          <w:color w:val="000000" w:themeColor="text1"/>
          <w14:textFill>
            <w14:solidFill>
              <w14:schemeClr w14:val="tx1"/>
            </w14:solidFill>
          </w14:textFill>
        </w:rPr>
        <w:t>。</w:t>
      </w:r>
    </w:p>
    <w:p w14:paraId="5958FA79">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4.项目名称：详见“投标人须知前附表”。</w:t>
      </w:r>
    </w:p>
    <w:p w14:paraId="458DE519">
      <w:pPr>
        <w:pStyle w:val="4"/>
        <w:ind w:firstLine="560"/>
        <w:rPr>
          <w:rFonts w:ascii="仿宋" w:hAnsi="仿宋"/>
          <w:szCs w:val="28"/>
        </w:rPr>
      </w:pPr>
      <w:bookmarkStart w:id="27" w:name="_Toc204689875"/>
      <w:r>
        <w:rPr>
          <w:rFonts w:ascii="仿宋" w:hAnsi="仿宋"/>
          <w:szCs w:val="28"/>
        </w:rPr>
        <w:t>（三）采购项目的资金来源和预算</w:t>
      </w:r>
      <w:bookmarkEnd w:id="27"/>
      <w:r>
        <w:rPr>
          <w:rFonts w:ascii="仿宋" w:hAnsi="仿宋"/>
          <w:szCs w:val="28"/>
        </w:rPr>
        <w:t>规模</w:t>
      </w:r>
    </w:p>
    <w:p w14:paraId="6F9AD48F">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1.资金来源：详见“投标人须知前附表”。</w:t>
      </w:r>
    </w:p>
    <w:p w14:paraId="21D9620B">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2.预算规模：详见“投标人须知前附表”。</w:t>
      </w:r>
    </w:p>
    <w:p w14:paraId="2B930FA5">
      <w:pPr>
        <w:pStyle w:val="4"/>
        <w:ind w:firstLine="560"/>
        <w:rPr>
          <w:rFonts w:ascii="仿宋" w:hAnsi="仿宋"/>
          <w:szCs w:val="28"/>
        </w:rPr>
      </w:pPr>
      <w:bookmarkStart w:id="28" w:name="_Toc204689876"/>
      <w:r>
        <w:rPr>
          <w:rFonts w:ascii="仿宋" w:hAnsi="仿宋"/>
          <w:szCs w:val="28"/>
        </w:rPr>
        <w:t>（四）服务内容、服务期、</w:t>
      </w:r>
      <w:bookmarkStart w:id="29" w:name="_Hlk76131161"/>
      <w:r>
        <w:rPr>
          <w:rFonts w:ascii="仿宋" w:hAnsi="仿宋"/>
          <w:szCs w:val="28"/>
        </w:rPr>
        <w:t>服务地点</w:t>
      </w:r>
      <w:bookmarkEnd w:id="29"/>
      <w:r>
        <w:rPr>
          <w:rFonts w:ascii="仿宋" w:hAnsi="仿宋"/>
          <w:szCs w:val="28"/>
        </w:rPr>
        <w:t>、服务方式、付款方式和</w:t>
      </w:r>
      <w:bookmarkEnd w:id="28"/>
      <w:r>
        <w:rPr>
          <w:rFonts w:ascii="仿宋" w:hAnsi="仿宋"/>
          <w:szCs w:val="28"/>
        </w:rPr>
        <w:t>采购需求</w:t>
      </w:r>
    </w:p>
    <w:p w14:paraId="43CC0A01">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1.服务内容：详见“投标人须知前附表”。</w:t>
      </w:r>
    </w:p>
    <w:p w14:paraId="05A892C5">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w:t>
      </w:r>
      <w:bookmarkStart w:id="30" w:name="_Hlk41306339"/>
      <w:r>
        <w:rPr>
          <w:rFonts w:hint="eastAsia" w:ascii="仿宋" w:hAnsi="仿宋" w:eastAsia="仿宋"/>
          <w:color w:val="000000" w:themeColor="text1"/>
          <w14:textFill>
            <w14:solidFill>
              <w14:schemeClr w14:val="tx1"/>
            </w14:solidFill>
          </w14:textFill>
        </w:rPr>
        <w:t>服务期：详见“投标人须知前附表”</w:t>
      </w:r>
      <w:bookmarkEnd w:id="30"/>
      <w:r>
        <w:rPr>
          <w:rFonts w:hint="eastAsia" w:ascii="仿宋" w:hAnsi="仿宋" w:eastAsia="仿宋"/>
          <w:color w:val="000000" w:themeColor="text1"/>
          <w14:textFill>
            <w14:solidFill>
              <w14:schemeClr w14:val="tx1"/>
            </w14:solidFill>
          </w14:textFill>
        </w:rPr>
        <w:t>。</w:t>
      </w:r>
    </w:p>
    <w:p w14:paraId="2F135134">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3.服务地点：详见“投标人须知前附表”。</w:t>
      </w:r>
    </w:p>
    <w:p w14:paraId="131F163A">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4.服务方式：详见“投标人须知前附表”。</w:t>
      </w:r>
    </w:p>
    <w:p w14:paraId="2AA47CD9">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5.付款方式：详见“投标人须知前附表”。</w:t>
      </w:r>
    </w:p>
    <w:p w14:paraId="03565924">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6.采购需求：详见“第二章 采购需求”。</w:t>
      </w:r>
    </w:p>
    <w:p w14:paraId="22A6786C">
      <w:pPr>
        <w:pStyle w:val="4"/>
        <w:ind w:firstLine="560"/>
        <w:rPr>
          <w:rFonts w:ascii="仿宋" w:hAnsi="仿宋"/>
          <w:szCs w:val="28"/>
        </w:rPr>
      </w:pPr>
      <w:bookmarkStart w:id="31" w:name="_Toc204689877"/>
      <w:r>
        <w:rPr>
          <w:rFonts w:ascii="仿宋" w:hAnsi="仿宋"/>
          <w:szCs w:val="28"/>
        </w:rPr>
        <w:t>（五）投标人资格要求</w:t>
      </w:r>
      <w:bookmarkEnd w:id="31"/>
    </w:p>
    <w:p w14:paraId="67667F81">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1.投标人应具备承担本项目的资格要求和其他要求：</w:t>
      </w:r>
    </w:p>
    <w:p w14:paraId="62366183">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（1）资格要求：详见“投标人须知前附表”。</w:t>
      </w:r>
    </w:p>
    <w:p w14:paraId="5B47BCC6">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（2）其他要求：详见“投标人须知前附表”。</w:t>
      </w:r>
    </w:p>
    <w:p w14:paraId="6A21DE21">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2.投标人信用信息查询：详见“投标人须知前附表”。</w:t>
      </w:r>
    </w:p>
    <w:p w14:paraId="30538EE7">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3.是否接受联合体投标：详见“投标人须知前附表”。</w:t>
      </w:r>
    </w:p>
    <w:p w14:paraId="109DF183">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4.投标人不得存在下列情形之一：</w:t>
      </w:r>
    </w:p>
    <w:p w14:paraId="1646EDE8">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（1）与采购人员及相关人员存在利害关系且可能影响招标采购活动的公正性。</w:t>
      </w:r>
    </w:p>
    <w:p w14:paraId="3A21A36A">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（2）单位负责人为同一人或者存在直接控股、管理关系的不同投标人，不得参加同一合同项下的政府采购活动。</w:t>
      </w:r>
    </w:p>
    <w:p w14:paraId="3786F3F2">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（3）为采购项目提供整体设计、规范编制或者项目管理、监理、检测等服务的，不得再参加该采购项目的其他采购活动。</w:t>
      </w:r>
    </w:p>
    <w:p w14:paraId="4F496DF8">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（4）法律法规或投标人须知前附表规定的其他情形。</w:t>
      </w:r>
    </w:p>
    <w:p w14:paraId="4F0CA1E1">
      <w:pPr>
        <w:pStyle w:val="4"/>
        <w:ind w:firstLine="560"/>
      </w:pPr>
      <w:bookmarkStart w:id="32" w:name="_Toc204689878"/>
      <w:r>
        <w:t>（六）废标条款：详见“投标人须知前附表”（如发现有违规、违法行为将依法追究当事人责任）。</w:t>
      </w:r>
      <w:bookmarkEnd w:id="32"/>
    </w:p>
    <w:p w14:paraId="32AB05F6">
      <w:pPr>
        <w:pStyle w:val="4"/>
        <w:ind w:firstLine="560"/>
      </w:pPr>
      <w:bookmarkStart w:id="33" w:name="_Toc204689879"/>
      <w:r>
        <w:t>（七）无效投标：详见“投标人须知前附表”。</w:t>
      </w:r>
      <w:bookmarkEnd w:id="33"/>
    </w:p>
    <w:p w14:paraId="6610844F">
      <w:pPr>
        <w:pStyle w:val="4"/>
        <w:ind w:firstLine="560"/>
      </w:pPr>
      <w:bookmarkStart w:id="34" w:name="_Toc204689880"/>
      <w:r>
        <w:t>（八）</w:t>
      </w:r>
      <w:bookmarkStart w:id="35" w:name="OLE_LINK1"/>
      <w:bookmarkStart w:id="36" w:name="OLE_LINK2"/>
      <w:r>
        <w:t>串通投标</w:t>
      </w:r>
      <w:bookmarkEnd w:id="35"/>
      <w:bookmarkEnd w:id="36"/>
      <w:r>
        <w:t>：详见“投标人须知前附表”。</w:t>
      </w:r>
      <w:bookmarkEnd w:id="34"/>
    </w:p>
    <w:p w14:paraId="6F9C1D2C">
      <w:pPr>
        <w:pStyle w:val="4"/>
        <w:ind w:firstLine="560"/>
      </w:pPr>
      <w:bookmarkStart w:id="37" w:name="_Toc204689882"/>
      <w:r>
        <w:t>（十）费用承担</w:t>
      </w:r>
      <w:bookmarkEnd w:id="37"/>
    </w:p>
    <w:p w14:paraId="53180217">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投标人应承担所有与准备和参加招标采购活动有关的费用，不论招标采购活动的结果如何，采购人、采购代理机构均无承担的义务和责任。</w:t>
      </w:r>
    </w:p>
    <w:p w14:paraId="5B1515C7">
      <w:pPr>
        <w:pStyle w:val="4"/>
        <w:ind w:firstLine="560"/>
      </w:pPr>
      <w:bookmarkStart w:id="38" w:name="_Toc204689883"/>
      <w:r>
        <w:t>（十一）保密</w:t>
      </w:r>
      <w:bookmarkEnd w:id="38"/>
    </w:p>
    <w:p w14:paraId="52F162EF">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1.参与招标采购活动的各方应对招标文件和投标文件中的商业和技术等秘密保密，否则应承担相应的法律责任。</w:t>
      </w:r>
    </w:p>
    <w:p w14:paraId="116D5D65">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除采购人代表、评审现场组织人员外，采购人的其他工作人员以及与评审工作无关的人员不得进入评审现场。有关人员对评审情况以及在招标采购活动过程中获悉的国家秘密、商业秘密等保密，否则应承担相应的法律责任。</w:t>
      </w:r>
    </w:p>
    <w:p w14:paraId="2BA494C1">
      <w:pPr>
        <w:pStyle w:val="4"/>
        <w:ind w:firstLine="560"/>
      </w:pPr>
      <w:bookmarkStart w:id="39" w:name="_Toc204689884"/>
      <w:r>
        <w:t>（十二）语言文字</w:t>
      </w:r>
      <w:bookmarkEnd w:id="39"/>
    </w:p>
    <w:p w14:paraId="63EB7844">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投标文件使用的语言文字为简体中文。专用术语等使用外文的，应付有中文注释，在解释投标文件时以中文注释为准。</w:t>
      </w:r>
    </w:p>
    <w:p w14:paraId="5B71C5D5">
      <w:pPr>
        <w:pStyle w:val="4"/>
        <w:ind w:firstLine="560"/>
      </w:pPr>
      <w:bookmarkStart w:id="40" w:name="_Toc204689885"/>
      <w:r>
        <w:t>（十三）计量单位</w:t>
      </w:r>
      <w:bookmarkEnd w:id="40"/>
    </w:p>
    <w:p w14:paraId="36BF6342">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所有计量均采用中华人民共和国法定计量单位。</w:t>
      </w:r>
    </w:p>
    <w:p w14:paraId="674F9D83">
      <w:pPr>
        <w:pStyle w:val="4"/>
        <w:ind w:firstLine="560"/>
      </w:pPr>
      <w:bookmarkStart w:id="41" w:name="_Toc204689886"/>
      <w:r>
        <w:t>（十四）标前答疑会：详见“投标人须知前附表</w:t>
      </w:r>
      <w:bookmarkStart w:id="42" w:name="_Hlk41307933"/>
      <w:r>
        <w:t>”</w:t>
      </w:r>
      <w:bookmarkEnd w:id="42"/>
      <w:r>
        <w:t>。</w:t>
      </w:r>
      <w:bookmarkEnd w:id="41"/>
    </w:p>
    <w:p w14:paraId="745A8FD1">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1.投标人须知前附表规定召开标前答疑会的，采购人按投标人须知前附表规定的时间和地点召开标前答疑会，澄清投标人提出的问题。</w:t>
      </w:r>
    </w:p>
    <w:p w14:paraId="514C2DF9">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2.投标人应按投标人须知前附表规定的时间和形式将提出的问题送达采购人，以便采购人在会议期间澄清。</w:t>
      </w:r>
    </w:p>
    <w:p w14:paraId="728C9CC5">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3.标前答疑会后，采购人将对投标人所提问题的澄清，以投标人须知前附表规定的形式通知所有获取招标文件的投标人。该澄清内容为招标文件的组成部分。</w:t>
      </w:r>
    </w:p>
    <w:p w14:paraId="17672050">
      <w:pPr>
        <w:pStyle w:val="4"/>
        <w:ind w:firstLine="560"/>
      </w:pPr>
      <w:bookmarkStart w:id="43" w:name="_Toc204689887"/>
      <w:r>
        <w:t>（十五）响应和偏离</w:t>
      </w:r>
      <w:bookmarkEnd w:id="43"/>
    </w:p>
    <w:p w14:paraId="6A4F6285">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1.投标人应当按照招标文件的要求编制投标文件。投标文件应当对招标文件提出的要求和条件作出明确响应。</w:t>
      </w:r>
    </w:p>
    <w:p w14:paraId="028370C5">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2.投标文件应当对招标文件的实质性要求和条件作出满足性或更有利于采购人的响应，否则被视为无效投标。实质性要求和条件详见“投标人须知前附表”。</w:t>
      </w:r>
    </w:p>
    <w:p w14:paraId="0789F0FD">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3.对于投标文件中不构成实质性偏离的不正规、不一致或不规则，评标委员会评标委员会可以接受，但这种接受不能损害采购人或者其他投标人的合法权益。</w:t>
      </w:r>
    </w:p>
    <w:p w14:paraId="42E2246D">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4.投标文件对招标文件采购需求的响应和偏离，均应在投标文件的采购需求响应和偏离表中列明。</w:t>
      </w:r>
    </w:p>
    <w:p w14:paraId="5A8075BB">
      <w:pPr>
        <w:pStyle w:val="3"/>
        <w:ind w:firstLine="562"/>
      </w:pPr>
      <w:bookmarkStart w:id="44" w:name="_Toc204689888"/>
      <w:r>
        <w:rPr>
          <w:rFonts w:hint="eastAsia"/>
        </w:rPr>
        <w:t>二、招标文件</w:t>
      </w:r>
      <w:bookmarkEnd w:id="44"/>
    </w:p>
    <w:p w14:paraId="0D3168F1">
      <w:pPr>
        <w:pStyle w:val="4"/>
        <w:ind w:firstLine="560"/>
      </w:pPr>
      <w:bookmarkStart w:id="45" w:name="_Toc204689889"/>
      <w:r>
        <w:t>（一）招标文件的组成</w:t>
      </w:r>
      <w:bookmarkEnd w:id="45"/>
    </w:p>
    <w:p w14:paraId="3B93AF81">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投标邀请</w:t>
      </w:r>
      <w:r>
        <w:rPr>
          <w:rFonts w:ascii="仿宋" w:hAnsi="仿宋" w:eastAsia="仿宋"/>
          <w:bCs/>
          <w:color w:val="000000" w:themeColor="text1"/>
          <w:szCs w:val="28"/>
          <w14:textFill>
            <w14:solidFill>
              <w14:schemeClr w14:val="tx1"/>
            </w14:solidFill>
          </w14:textFill>
        </w:rPr>
        <w:tab/>
      </w:r>
    </w:p>
    <w:p w14:paraId="2BC0CC6B">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第一章 投标人须知</w:t>
      </w:r>
      <w:r>
        <w:rPr>
          <w:rFonts w:ascii="仿宋" w:hAnsi="仿宋" w:eastAsia="仿宋"/>
          <w:bCs/>
          <w:color w:val="000000" w:themeColor="text1"/>
          <w:szCs w:val="28"/>
          <w14:textFill>
            <w14:solidFill>
              <w14:schemeClr w14:val="tx1"/>
            </w14:solidFill>
          </w14:textFill>
        </w:rPr>
        <w:tab/>
      </w:r>
    </w:p>
    <w:p w14:paraId="1E6EF592">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第二章 采购需求</w:t>
      </w:r>
      <w:r>
        <w:rPr>
          <w:rFonts w:ascii="仿宋" w:hAnsi="仿宋" w:eastAsia="仿宋"/>
          <w:bCs/>
          <w:color w:val="000000" w:themeColor="text1"/>
          <w:szCs w:val="28"/>
          <w14:textFill>
            <w14:solidFill>
              <w14:schemeClr w14:val="tx1"/>
            </w14:solidFill>
          </w14:textFill>
        </w:rPr>
        <w:tab/>
      </w:r>
    </w:p>
    <w:p w14:paraId="21CFAD92">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第三章 评标标准</w:t>
      </w:r>
    </w:p>
    <w:p w14:paraId="3742711D">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第四章 合同条款及格式</w:t>
      </w:r>
    </w:p>
    <w:p w14:paraId="0AFA2C6C">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第五章 投标文件格式</w:t>
      </w:r>
    </w:p>
    <w:p w14:paraId="3A86D844">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根据本章二（二）项对招标文件所做的澄清、修改，构成招标文件的组成部分。</w:t>
      </w:r>
    </w:p>
    <w:p w14:paraId="622388E9">
      <w:pPr>
        <w:pStyle w:val="4"/>
        <w:ind w:firstLine="560"/>
      </w:pPr>
      <w:bookmarkStart w:id="46" w:name="_Toc204689890"/>
      <w:r>
        <w:rPr>
          <w:rFonts w:hint="eastAsia"/>
        </w:rPr>
        <w:t>（二）</w:t>
      </w:r>
      <w:r>
        <w:t>招标文件的澄清或修改</w:t>
      </w:r>
      <w:bookmarkEnd w:id="46"/>
    </w:p>
    <w:p w14:paraId="0848352E">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1.采购人或者采购代理机构可以对已发出的招标文件进行必要的澄清或者修改，澄清或者修改的内容为招标文件的组成部分。</w:t>
      </w:r>
    </w:p>
    <w:p w14:paraId="33C3018D">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澄清或者修改的内容可能影响投标文件编制的，采购人或者采购代理机构应在投标截止时间至少15日前，以书面形式通知所有获取招标文件的潜在投标人；不足15日的，采购人或者采购代理机构应当顺延递交投标文件的截止时间。投标人在收到上述通知后，应立即向采购代理机构回函确认。</w:t>
      </w:r>
    </w:p>
    <w:p w14:paraId="5B1F518B">
      <w:pPr>
        <w:pStyle w:val="3"/>
        <w:ind w:firstLine="562"/>
      </w:pPr>
      <w:bookmarkStart w:id="47" w:name="_Toc204689891"/>
      <w:r>
        <w:rPr>
          <w:rFonts w:hint="eastAsia"/>
        </w:rPr>
        <w:t>三、投标文件</w:t>
      </w:r>
      <w:bookmarkEnd w:id="47"/>
    </w:p>
    <w:p w14:paraId="5B881ABC">
      <w:pPr>
        <w:pStyle w:val="4"/>
        <w:ind w:firstLine="560"/>
      </w:pPr>
      <w:bookmarkStart w:id="48" w:name="_Toc204689892"/>
      <w:r>
        <w:t>（一）投标文件的组成</w:t>
      </w:r>
      <w:bookmarkEnd w:id="48"/>
    </w:p>
    <w:p w14:paraId="0F7684F4">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投标文件应包括招标文件中规定的“第五章 投标文件格式”中的所有内容。</w:t>
      </w:r>
    </w:p>
    <w:p w14:paraId="50D73245">
      <w:pPr>
        <w:pStyle w:val="4"/>
        <w:ind w:firstLine="560"/>
      </w:pPr>
      <w:bookmarkStart w:id="49" w:name="_Toc204689893"/>
      <w:r>
        <w:t>（二）投标报价</w:t>
      </w:r>
      <w:bookmarkEnd w:id="49"/>
    </w:p>
    <w:p w14:paraId="6AB072A8">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1.所有投标报价均以费率报价。投标人的投标报价应遵守《企业年金基金管理办法》《企业年金办法》中相关规定。</w:t>
      </w:r>
    </w:p>
    <w:p w14:paraId="5F7A5E1A">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 投标人应按第六章“投标文件格式”的要求在投标函中进行报价。</w:t>
      </w:r>
    </w:p>
    <w:p w14:paraId="35B2545F">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3.投标人应充分了解该项目的总体情况以及影响报价其他要素，投标报价应包含采购活动全部服务所必需的一切费用。</w:t>
      </w:r>
    </w:p>
    <w:p w14:paraId="155B9269">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4.投标文件报价出现前后不一致的，按照下列规定修正：</w:t>
      </w:r>
    </w:p>
    <w:p w14:paraId="634D1186">
      <w:pPr>
        <w:pStyle w:val="17"/>
        <w:wordWrap/>
        <w:spacing w:line="560" w:lineRule="exact"/>
        <w:ind w:firstLine="560" w:firstLineChars="200"/>
        <w:rPr>
          <w:rFonts w:ascii="仿宋" w:hAnsi="仿宋" w:eastAsia="仿宋"/>
          <w:color w:val="000000" w:themeColor="text1"/>
          <w14:textFill>
            <w14:solidFill>
              <w14:schemeClr w14:val="tx1"/>
            </w14:solidFill>
          </w14:textFill>
        </w:rPr>
      </w:pPr>
      <w:bookmarkStart w:id="50" w:name="_Hlk28341592"/>
      <w:r>
        <w:rPr>
          <w:rFonts w:hint="eastAsia" w:ascii="仿宋" w:hAnsi="仿宋" w:eastAsia="仿宋"/>
          <w:color w:val="000000" w:themeColor="text1"/>
          <w14:textFill>
            <w14:solidFill>
              <w14:schemeClr w14:val="tx1"/>
            </w14:solidFill>
          </w14:textFill>
        </w:rPr>
        <w:t>（1）投标文件中报价表内容与投标文件中相应内容不一致的，以报价表为准；</w:t>
      </w:r>
    </w:p>
    <w:p w14:paraId="1EA6233D">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（2）大写金额和小写金额不一致的，以大写金额为准；</w:t>
      </w:r>
    </w:p>
    <w:p w14:paraId="66A2A1AA">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（3）单价金额小数点或者百分比有明显错位的，以报价表为准，并修改单价；</w:t>
      </w:r>
    </w:p>
    <w:p w14:paraId="0820F40B">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（4）总价金额与按单价汇总金额不一致的，以单价金额计算结果为准。</w:t>
      </w:r>
    </w:p>
    <w:bookmarkEnd w:id="50"/>
    <w:p w14:paraId="11666E0D">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同时出现两种以上不一致的，按照前款规定的顺序修正。修正后的报价按照《政府采购</w:t>
      </w:r>
      <w:r>
        <w:rPr>
          <w:rFonts w:ascii="仿宋" w:hAnsi="仿宋" w:eastAsia="仿宋"/>
          <w:bCs/>
          <w:color w:val="000000" w:themeColor="text1"/>
          <w:sz w:val="28"/>
          <w:szCs w:val="28"/>
          <w14:textFill>
            <w14:solidFill>
              <w14:schemeClr w14:val="tx1"/>
            </w14:solidFill>
          </w14:textFill>
        </w:rPr>
        <w:t>货物和服务</w:t>
      </w:r>
      <w:r>
        <w:rPr>
          <w:rFonts w:hint="eastAsia" w:ascii="仿宋" w:hAnsi="仿宋" w:eastAsia="仿宋"/>
          <w:bCs/>
          <w:color w:val="000000" w:themeColor="text1"/>
          <w:sz w:val="28"/>
          <w:szCs w:val="28"/>
          <w14:textFill>
            <w14:solidFill>
              <w14:schemeClr w14:val="tx1"/>
            </w14:solidFill>
          </w14:textFill>
        </w:rPr>
        <w:t>招标投标</w:t>
      </w:r>
      <w:r>
        <w:rPr>
          <w:rFonts w:ascii="仿宋" w:hAnsi="仿宋" w:eastAsia="仿宋"/>
          <w:bCs/>
          <w:color w:val="000000" w:themeColor="text1"/>
          <w:sz w:val="28"/>
          <w:szCs w:val="28"/>
          <w14:textFill>
            <w14:solidFill>
              <w14:schemeClr w14:val="tx1"/>
            </w14:solidFill>
          </w14:textFill>
        </w:rPr>
        <w:t>管理办法</w:t>
      </w:r>
      <w:r>
        <w:rPr>
          <w:rFonts w:hint="eastAsia" w:ascii="仿宋" w:hAnsi="仿宋" w:eastAsia="仿宋"/>
          <w:bCs/>
          <w:color w:val="000000" w:themeColor="text1"/>
          <w:sz w:val="28"/>
          <w:szCs w:val="28"/>
          <w14:textFill>
            <w14:solidFill>
              <w14:schemeClr w14:val="tx1"/>
            </w14:solidFill>
          </w14:textFill>
        </w:rPr>
        <w:t>》（87号令）第五十一条第二款的规定经投标人确认后产生约束力，投标人不确认的，其投标无效。</w:t>
      </w:r>
    </w:p>
    <w:p w14:paraId="12EB64C2">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5.本项目不接受任何选择性报价，每种服务和货物只能有一个招标报价，否则作为无效投标处理。</w:t>
      </w:r>
    </w:p>
    <w:p w14:paraId="6B852A82">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6.最低报价不作为成交的唯一依据。</w:t>
      </w:r>
    </w:p>
    <w:p w14:paraId="6EBCBABB">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7.投标报价的其他要求：详见“投标人须知前附表”。</w:t>
      </w:r>
    </w:p>
    <w:p w14:paraId="59547B5D">
      <w:pPr>
        <w:pStyle w:val="4"/>
        <w:ind w:firstLine="560"/>
      </w:pPr>
      <w:bookmarkStart w:id="51" w:name="_Toc204689894"/>
      <w:r>
        <w:t>（三）</w:t>
      </w:r>
      <w:bookmarkEnd w:id="51"/>
      <w:r>
        <w:t>投标有效期</w:t>
      </w:r>
    </w:p>
    <w:p w14:paraId="190D7A20">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1.投标有效期：详见“投标人须知前附表”。</w:t>
      </w:r>
    </w:p>
    <w:p w14:paraId="3512E136">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2.投标人的投标文件中的投标有效期应当不少于招标文件中载明的投标有效期，投标有效期不足的将被视为无效投标。</w:t>
      </w:r>
    </w:p>
    <w:p w14:paraId="3056A850">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3.投标有效期内投标人撤销投标文件的，采购人或者采购代理机构将不退还招标保证金。在投标有效期内，投标人撤销投标文件的，应承担招标文件和法律规定的责任。</w:t>
      </w:r>
    </w:p>
    <w:p w14:paraId="0783DAC9">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出现特殊情况需要延长投标有效期的，采购人以书面形式通知所有投标人延长投标有效期。投标人应予以书面答复，同意延长的，应相应延长其招标保证金的有效期，但不得要求或被允许修改其投标文件；投标人拒绝延长的，其投标失效，其投标保证金将予以退还。上述要求和答复都应以书面形式递交。</w:t>
      </w:r>
    </w:p>
    <w:p w14:paraId="686CFCB3">
      <w:pPr>
        <w:pStyle w:val="4"/>
        <w:ind w:firstLine="560"/>
      </w:pPr>
      <w:bookmarkStart w:id="52" w:name="_Toc204689895"/>
      <w:r>
        <w:t>（四）投标保证金</w:t>
      </w:r>
      <w:bookmarkEnd w:id="52"/>
    </w:p>
    <w:p w14:paraId="38275B42">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1.投标保证金交纳方式：详见“投标人须知前附表”。</w:t>
      </w:r>
    </w:p>
    <w:p w14:paraId="58E4D2F5">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2.投标保证金收取截止时间：详见“投标人须知前附表”。</w:t>
      </w:r>
    </w:p>
    <w:p w14:paraId="5D7DF4FE">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3.投标保证金金额：详见“投标人须知前附表”。</w:t>
      </w:r>
    </w:p>
    <w:p w14:paraId="442C9502">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4.投标保证金的退还：详见“投标人须知前附表”。</w:t>
      </w:r>
    </w:p>
    <w:p w14:paraId="7D5D344E">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5.招标保证金不予退还的情形：详见“投标人须知前附表。</w:t>
      </w:r>
    </w:p>
    <w:p w14:paraId="635AC548">
      <w:pPr>
        <w:pStyle w:val="4"/>
        <w:ind w:firstLine="560"/>
      </w:pPr>
      <w:bookmarkStart w:id="53" w:name="_Toc204689896"/>
      <w:r>
        <w:t>（五）现场踏勘：详见“投标人须知前附表”。</w:t>
      </w:r>
      <w:bookmarkEnd w:id="53"/>
    </w:p>
    <w:p w14:paraId="27667CE6">
      <w:pPr>
        <w:pStyle w:val="4"/>
        <w:ind w:firstLine="560"/>
      </w:pPr>
      <w:bookmarkStart w:id="54" w:name="_Toc204689897"/>
      <w:r>
        <w:t>（六）资格审查资料</w:t>
      </w:r>
      <w:bookmarkEnd w:id="54"/>
    </w:p>
    <w:p w14:paraId="21D24545">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投标人须按照“投标人须知前附表”要求提供资格审查资料，以证明其满足招标文件要求。</w:t>
      </w:r>
    </w:p>
    <w:p w14:paraId="1AB82702">
      <w:pPr>
        <w:pStyle w:val="4"/>
        <w:ind w:firstLine="560"/>
      </w:pPr>
      <w:bookmarkStart w:id="55" w:name="_Toc204689898"/>
      <w:r>
        <w:t>（七）投标文件的编制</w:t>
      </w:r>
      <w:bookmarkEnd w:id="55"/>
    </w:p>
    <w:p w14:paraId="25BD4162">
      <w:pPr>
        <w:pStyle w:val="17"/>
        <w:wordWrap/>
        <w:spacing w:line="560" w:lineRule="exact"/>
        <w:ind w:firstLine="560" w:firstLineChars="200"/>
        <w:rPr>
          <w:rFonts w:ascii="仿宋" w:hAnsi="仿宋" w:eastAsia="仿宋"/>
          <w:color w:val="000000" w:themeColor="text1"/>
          <w14:textFill>
            <w14:solidFill>
              <w14:schemeClr w14:val="tx1"/>
            </w14:solidFill>
          </w14:textFill>
        </w:rPr>
      </w:pPr>
      <w:bookmarkStart w:id="56" w:name="_Hlk103690907"/>
      <w:r>
        <w:rPr>
          <w:rFonts w:hint="eastAsia" w:ascii="仿宋" w:hAnsi="仿宋" w:eastAsia="仿宋"/>
          <w:color w:val="000000" w:themeColor="text1"/>
          <w14:textFill>
            <w14:solidFill>
              <w14:schemeClr w14:val="tx1"/>
            </w14:solidFill>
          </w14:textFill>
        </w:rPr>
        <w:t>1.投标文件应当按照招标文件的要求及“第五章投标文件格式”进行编制投标文件，并且对招标文件提出的要求和条件做出明确的响应，如有必要，可以增加附页（增加附页的幅面应与投标文件一致，并按投标文件统一编码及装订），作为投标文件的组成部分。</w:t>
      </w:r>
    </w:p>
    <w:p w14:paraId="68821548">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2.投标文件应当对招标文件中实质性要求作出明确响应，实质性要求不满足的招标文件要求的为无效投标。投标文件在满足招标文件实质性要求的基础上，可以提出比招标文件要求更有利于采购人的承诺。</w:t>
      </w:r>
    </w:p>
    <w:p w14:paraId="61774C56">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投标文件应用不褪色的材料书写或打印，对投标文件的澄清、说明和补正应由投标人的法定代表人或其授权的代理人签字或盖单位章。投标文件应尽量避免涂改、行间插字或删除。如果出现上述情况，改动之处应由投标人的法定代表人或其授权的代理人签字或盖单位章。</w:t>
      </w:r>
    </w:p>
    <w:p w14:paraId="38B86FA3">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投标文件份数详见“投标人须知前附表”。正本和副本的封面上应清楚地标记“正本”和“副本”的字样。投标人应根据“投标人须知前附表”要求提供电子版文件。当副本和正本不一致时，以纸质正本文件为准。</w:t>
      </w:r>
    </w:p>
    <w:p w14:paraId="169F8560">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5.投标文件的封面装订材料不限，但必须牢固装订（无松散、掉页、脱落的，否则其响应将被拒绝），须编写方便查阅的文件目录，并逐页标明页码。投标文件应包括（但不限于）招标文件格式给出的所有内容。</w:t>
      </w:r>
    </w:p>
    <w:bookmarkEnd w:id="56"/>
    <w:p w14:paraId="00CC8075">
      <w:pPr>
        <w:pStyle w:val="3"/>
        <w:ind w:firstLine="562"/>
      </w:pPr>
      <w:bookmarkStart w:id="57" w:name="_Toc204689899"/>
      <w:r>
        <w:rPr>
          <w:rFonts w:hint="eastAsia"/>
        </w:rPr>
        <w:t>四、递交</w:t>
      </w:r>
      <w:bookmarkEnd w:id="57"/>
      <w:r>
        <w:rPr>
          <w:rFonts w:hint="eastAsia"/>
        </w:rPr>
        <w:t>投标文件</w:t>
      </w:r>
    </w:p>
    <w:p w14:paraId="4068AE0B">
      <w:pPr>
        <w:pStyle w:val="4"/>
        <w:ind w:firstLine="560"/>
      </w:pPr>
      <w:bookmarkStart w:id="58" w:name="_Toc204689900"/>
      <w:r>
        <w:t>（一）投标文件的密封、签署和盖章</w:t>
      </w:r>
      <w:bookmarkEnd w:id="58"/>
    </w:p>
    <w:p w14:paraId="0AE9B5EA">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投标文件的密封：详见“投标人须知前附表”。</w:t>
      </w:r>
    </w:p>
    <w:p w14:paraId="42F48FC0">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w:t>
      </w:r>
      <w:r>
        <w:rPr>
          <w:rFonts w:hint="eastAsia" w:ascii="仿宋" w:hAnsi="仿宋" w:eastAsia="仿宋"/>
          <w:color w:val="000000" w:themeColor="text1"/>
          <w14:textFill>
            <w14:solidFill>
              <w14:schemeClr w14:val="tx1"/>
            </w14:solidFill>
          </w14:textFill>
        </w:rPr>
        <w:t>.投标文件的签署：详见“投标人须知前附表”。</w:t>
      </w:r>
    </w:p>
    <w:p w14:paraId="3B3B8600">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3</w:t>
      </w:r>
      <w:r>
        <w:rPr>
          <w:rFonts w:hint="eastAsia" w:ascii="仿宋" w:hAnsi="仿宋" w:eastAsia="仿宋"/>
          <w:color w:val="000000" w:themeColor="text1"/>
          <w14:textFill>
            <w14:solidFill>
              <w14:schemeClr w14:val="tx1"/>
            </w14:solidFill>
          </w14:textFill>
        </w:rPr>
        <w:t>.投标文件的盖章：详见“投标人须知前附表”。</w:t>
      </w:r>
    </w:p>
    <w:p w14:paraId="75909240">
      <w:pPr>
        <w:pStyle w:val="4"/>
        <w:ind w:firstLine="560"/>
      </w:pPr>
      <w:bookmarkStart w:id="59" w:name="_Toc204689901"/>
      <w:r>
        <w:t>（二）投标文件的递交</w:t>
      </w:r>
      <w:bookmarkEnd w:id="59"/>
    </w:p>
    <w:p w14:paraId="4647A2CD">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1.投标人应在“投标人须知前附表”规定的递交投标文件截止时间前递交投标文件。</w:t>
      </w:r>
    </w:p>
    <w:p w14:paraId="453D6E8F">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2.投标人递交投标文件的地点：详见“投标人须知前附表”。</w:t>
      </w:r>
    </w:p>
    <w:p w14:paraId="60C746DA">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3.投标文件递交份数：详见“投标人须知前附表”。</w:t>
      </w:r>
    </w:p>
    <w:p w14:paraId="57F61068">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4.除“投标人须知前附表”另有规定外，投标人所递交的投标文件不予退还。</w:t>
      </w:r>
    </w:p>
    <w:p w14:paraId="15E03F40">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5.采购人或采购代理机构收到投标文件后，将如实记载投标文件的送达时间和密封情况，签收保存，并向投标人出具签收回执。</w:t>
      </w:r>
    </w:p>
    <w:p w14:paraId="56E72914">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6.逾期送达或者未按照招标文件要求密封的投标文件，采购代理机构将拒收。</w:t>
      </w:r>
    </w:p>
    <w:p w14:paraId="7D1FD242">
      <w:pPr>
        <w:pStyle w:val="4"/>
        <w:ind w:firstLine="560"/>
      </w:pPr>
      <w:bookmarkStart w:id="60" w:name="_Toc204689902"/>
      <w:r>
        <w:t>（三）投标文件的修改与撤回</w:t>
      </w:r>
      <w:bookmarkEnd w:id="60"/>
    </w:p>
    <w:p w14:paraId="48D220B1">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投标人在递交投标文件截止时间前，可以对所递交的投标文件进行补充、修改或者撤回，须书面通知采购人、采购代理机构。补充、修改的内容应当按照招标文件要求签署、盖章后，作为投标文件的组成部分。补充、修改的内容与投标文件不一致的，以补充、修改的内容为准。</w:t>
      </w:r>
    </w:p>
    <w:p w14:paraId="403D03BD">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投标人在递交投标文件截止时间前撤回已递交的投标文件的，采购人或者采购代理机构将自收到投标人书面撤回通知之日起５个工作日内，退还已收取的招标保证金，但因投标人自身原因导致无法及时退还的除外。</w:t>
      </w:r>
    </w:p>
    <w:p w14:paraId="7FC5308A">
      <w:pPr>
        <w:pStyle w:val="3"/>
        <w:ind w:firstLine="562"/>
      </w:pPr>
      <w:bookmarkStart w:id="61" w:name="_Toc204689903"/>
      <w:r>
        <w:rPr>
          <w:rFonts w:hint="eastAsia"/>
        </w:rPr>
        <w:t>五</w:t>
      </w:r>
      <w:r>
        <w:t>、</w:t>
      </w:r>
      <w:r>
        <w:rPr>
          <w:rFonts w:hint="eastAsia"/>
        </w:rPr>
        <w:t>开标</w:t>
      </w:r>
      <w:bookmarkEnd w:id="61"/>
    </w:p>
    <w:p w14:paraId="4AE417E4">
      <w:pPr>
        <w:pStyle w:val="4"/>
        <w:ind w:firstLine="560"/>
        <w:rPr>
          <w:rFonts w:ascii="仿宋" w:hAnsi="仿宋" w:cstheme="minorBidi"/>
          <w:szCs w:val="28"/>
        </w:rPr>
      </w:pPr>
      <w:bookmarkStart w:id="62" w:name="_Toc204689904"/>
      <w:bookmarkStart w:id="63" w:name="_Toc26669"/>
      <w:bookmarkStart w:id="64" w:name="_Hlk102824687"/>
      <w:r>
        <w:rPr>
          <w:rFonts w:ascii="仿宋" w:hAnsi="仿宋" w:cstheme="minorBidi"/>
          <w:szCs w:val="28"/>
        </w:rPr>
        <w:t>（一）投标文件开启时间、地点：</w:t>
      </w:r>
      <w:r>
        <w:rPr>
          <w:rFonts w:hint="eastAsia" w:ascii="仿宋" w:hAnsi="仿宋" w:cstheme="minorBidi"/>
          <w:szCs w:val="28"/>
        </w:rPr>
        <w:t>详见“投标人须知前附表”。</w:t>
      </w:r>
      <w:bookmarkEnd w:id="62"/>
      <w:bookmarkEnd w:id="63"/>
    </w:p>
    <w:p w14:paraId="76213E37">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采购人或者采购代理机构在“投标人须知前附表”规定的递交投标文件时间对所有投标文件进行开启，并邀请所有投标人的法定代表人或其委托代理人准时参加。投标人未参加的，视同认可开启程序和结果。</w:t>
      </w:r>
    </w:p>
    <w:p w14:paraId="40AF4689">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开标过程应当由采购人或者采购代理机构负责记录，由参加开标的各投标人代表和相关工作人员签字确认后随招标文件一并存档。</w:t>
      </w:r>
    </w:p>
    <w:bookmarkEnd w:id="64"/>
    <w:p w14:paraId="43806368">
      <w:pPr>
        <w:pStyle w:val="4"/>
        <w:ind w:firstLine="560"/>
        <w:rPr>
          <w:rFonts w:ascii="仿宋" w:hAnsi="仿宋" w:cstheme="minorBidi"/>
          <w:bCs/>
          <w:szCs w:val="28"/>
        </w:rPr>
      </w:pPr>
      <w:bookmarkStart w:id="65" w:name="_Toc204689905"/>
      <w:bookmarkStart w:id="66" w:name="_Toc21574"/>
      <w:r>
        <w:rPr>
          <w:rFonts w:hint="eastAsia" w:ascii="仿宋" w:hAnsi="仿宋" w:cstheme="minorBidi"/>
          <w:bCs/>
          <w:szCs w:val="28"/>
        </w:rPr>
        <w:t>（二）开标</w:t>
      </w:r>
      <w:r>
        <w:rPr>
          <w:rFonts w:ascii="仿宋" w:hAnsi="仿宋" w:cstheme="minorBidi"/>
          <w:bCs/>
          <w:szCs w:val="28"/>
        </w:rPr>
        <w:t>程序</w:t>
      </w:r>
      <w:r>
        <w:rPr>
          <w:rFonts w:hint="eastAsia" w:ascii="仿宋" w:hAnsi="仿宋" w:cstheme="minorBidi"/>
          <w:bCs/>
          <w:szCs w:val="28"/>
        </w:rPr>
        <w:t>：</w:t>
      </w:r>
      <w:r>
        <w:rPr>
          <w:rFonts w:ascii="仿宋" w:hAnsi="仿宋" w:cstheme="minorBidi"/>
          <w:bCs/>
          <w:szCs w:val="28"/>
        </w:rPr>
        <w:t>见投标人须知前附表。</w:t>
      </w:r>
    </w:p>
    <w:p w14:paraId="5FDA7BBB">
      <w:pPr>
        <w:pStyle w:val="4"/>
        <w:ind w:firstLine="560"/>
      </w:pPr>
      <w:r>
        <w:t>（</w:t>
      </w:r>
      <w:r>
        <w:rPr>
          <w:rFonts w:hint="eastAsia"/>
        </w:rPr>
        <w:t>三</w:t>
      </w:r>
      <w:r>
        <w:t>）</w:t>
      </w:r>
      <w:bookmarkEnd w:id="65"/>
      <w:bookmarkEnd w:id="66"/>
      <w:r>
        <w:rPr>
          <w:rFonts w:hint="eastAsia"/>
        </w:rPr>
        <w:t>开标</w:t>
      </w:r>
      <w:r>
        <w:t>异议</w:t>
      </w:r>
    </w:p>
    <w:p w14:paraId="41930BEB">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bookmarkStart w:id="67" w:name="_Toc204689906"/>
      <w:r>
        <w:rPr>
          <w:rFonts w:hint="eastAsia" w:ascii="仿宋" w:hAnsi="仿宋" w:eastAsia="仿宋"/>
          <w:bCs/>
          <w:color w:val="000000" w:themeColor="text1"/>
          <w:sz w:val="28"/>
          <w:szCs w:val="28"/>
          <w14:textFill>
            <w14:solidFill>
              <w14:schemeClr w14:val="tx1"/>
            </w14:solidFill>
          </w14:textFill>
        </w:rPr>
        <w:t>投标人代表对开标过程和开标记录有异议，以及认为采购人、采购代理机构相关工作人员有需要回避的情形的，应当场提出询问或者回避申请。采购人、采购代理机构对投标人代表提出的询问或者回避申请应当及时处理。</w:t>
      </w:r>
    </w:p>
    <w:p w14:paraId="0F151836">
      <w:pPr>
        <w:pStyle w:val="4"/>
        <w:ind w:firstLine="560"/>
      </w:pPr>
      <w:r>
        <w:rPr>
          <w:rFonts w:hint="eastAsia"/>
        </w:rPr>
        <w:t>（四）资格审查</w:t>
      </w:r>
    </w:p>
    <w:p w14:paraId="63BC9B36">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开标结束后，采购人或采购代理机构工作人员依法对投标人的资格进行审查。</w:t>
      </w:r>
    </w:p>
    <w:p w14:paraId="618D9009">
      <w:pPr>
        <w:pStyle w:val="3"/>
        <w:ind w:firstLine="562"/>
      </w:pPr>
      <w:r>
        <w:rPr>
          <w:rFonts w:hint="eastAsia"/>
        </w:rPr>
        <w:t>六、评审</w:t>
      </w:r>
      <w:bookmarkEnd w:id="67"/>
    </w:p>
    <w:p w14:paraId="0EDB9445">
      <w:pPr>
        <w:pStyle w:val="4"/>
        <w:ind w:firstLine="560"/>
      </w:pPr>
      <w:bookmarkStart w:id="68" w:name="_Toc204689907"/>
      <w:r>
        <w:t>（一）</w:t>
      </w:r>
      <w:bookmarkEnd w:id="68"/>
      <w:r>
        <w:t>评标委员会</w:t>
      </w:r>
    </w:p>
    <w:p w14:paraId="18D3DD3B">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 评审专家由采购人或者采购代理机构从自备专家库中随机抽取。评标委员会由评审专家组成；或由采购人代表和评审专家组成。成员人数应当为5人以上单数，其中评审专家不得少于成员总数的三分之二。</w:t>
      </w:r>
    </w:p>
    <w:p w14:paraId="12DAE2D3">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2.评标委员会成员有下列情形之一的，应当回避：</w:t>
      </w:r>
    </w:p>
    <w:p w14:paraId="723C6994">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（1）参加采购活动前三年内，与投标人存在劳动关系，或者担任过投标人的董事、监事，或者是投标人的控股股东或实际控制人；</w:t>
      </w:r>
    </w:p>
    <w:p w14:paraId="12AB440F">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（2）与投标人的法定代表人或者负责人有夫妻、直系血亲、三代以内旁系血亲或者近姻亲关系；</w:t>
      </w:r>
    </w:p>
    <w:p w14:paraId="4F5EBF80">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（3）与投标人有其他可能影响采购活动公平、公正进行的关系。</w:t>
      </w:r>
    </w:p>
    <w:p w14:paraId="00E5795B">
      <w:pPr>
        <w:pStyle w:val="4"/>
        <w:ind w:firstLine="560"/>
      </w:pPr>
      <w:bookmarkStart w:id="69" w:name="_Toc204689908"/>
      <w:r>
        <w:t>（二）评审原则</w:t>
      </w:r>
      <w:bookmarkEnd w:id="69"/>
    </w:p>
    <w:p w14:paraId="7E6D4217">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评标委员会成员应当按照客观、公正、审慎的原则</w:t>
      </w:r>
      <w:bookmarkStart w:id="70" w:name="_Hlk72160418"/>
      <w:r>
        <w:rPr>
          <w:rFonts w:ascii="仿宋" w:hAnsi="仿宋" w:eastAsia="仿宋"/>
          <w:bCs/>
          <w:color w:val="000000" w:themeColor="text1"/>
          <w:szCs w:val="28"/>
          <w14:textFill>
            <w14:solidFill>
              <w14:schemeClr w14:val="tx1"/>
            </w14:solidFill>
          </w14:textFill>
        </w:rPr>
        <w:t>，根据招标文件规定的评审程序、评审方法和评审标准进行独立评审</w:t>
      </w:r>
      <w:bookmarkEnd w:id="70"/>
      <w:r>
        <w:rPr>
          <w:rFonts w:ascii="仿宋" w:hAnsi="仿宋" w:eastAsia="仿宋"/>
          <w:bCs/>
          <w:color w:val="000000" w:themeColor="text1"/>
          <w:szCs w:val="28"/>
          <w14:textFill>
            <w14:solidFill>
              <w14:schemeClr w14:val="tx1"/>
            </w14:solidFill>
          </w14:textFill>
        </w:rPr>
        <w:t>。</w:t>
      </w:r>
    </w:p>
    <w:p w14:paraId="408D68BD">
      <w:pPr>
        <w:pStyle w:val="4"/>
        <w:ind w:firstLine="560"/>
        <w:rPr>
          <w:bCs/>
        </w:rPr>
      </w:pPr>
      <w:bookmarkStart w:id="71" w:name="_Toc204689909"/>
      <w:r>
        <w:t>（三）评审办法：</w:t>
      </w:r>
      <w:r>
        <w:rPr>
          <w:bCs/>
        </w:rPr>
        <w:t>综合评分法</w:t>
      </w:r>
      <w:bookmarkEnd w:id="71"/>
    </w:p>
    <w:p w14:paraId="0BF7EDC2">
      <w:pPr>
        <w:pStyle w:val="18"/>
        <w:wordWrap/>
        <w:spacing w:line="560" w:lineRule="exact"/>
        <w:ind w:firstLine="560"/>
        <w:rPr>
          <w:rFonts w:hint="default" w:ascii="仿宋" w:hAnsi="仿宋" w:eastAsia="仿宋"/>
          <w:color w:val="000000" w:themeColor="text1"/>
          <w:szCs w:val="28"/>
          <w14:textFill>
            <w14:solidFill>
              <w14:schemeClr w14:val="tx1"/>
            </w14:solidFill>
          </w14:textFill>
        </w:rPr>
      </w:pPr>
      <w:r>
        <w:rPr>
          <w:rFonts w:ascii="仿宋" w:hAnsi="仿宋" w:eastAsia="仿宋"/>
          <w:color w:val="000000" w:themeColor="text1"/>
          <w:szCs w:val="28"/>
          <w14:textFill>
            <w14:solidFill>
              <w14:schemeClr w14:val="tx1"/>
            </w14:solidFill>
          </w14:textFill>
        </w:rPr>
        <w:t>1.综合评分法，是指投标文件满足招标文件全部实质性要求且按评审因素的量化指标评审得分最高的投标人为成交候选投标人的评审方法。</w:t>
      </w:r>
    </w:p>
    <w:p w14:paraId="4168EFD0">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color w:val="000000" w:themeColor="text1"/>
          <w:szCs w:val="28"/>
          <w14:textFill>
            <w14:solidFill>
              <w14:schemeClr w14:val="tx1"/>
            </w14:solidFill>
          </w14:textFill>
        </w:rPr>
        <w:t>2.</w:t>
      </w:r>
      <w:r>
        <w:rPr>
          <w:rFonts w:ascii="仿宋" w:hAnsi="仿宋" w:eastAsia="仿宋"/>
          <w:bCs/>
          <w:color w:val="000000" w:themeColor="text1"/>
          <w:szCs w:val="28"/>
          <w14:textFill>
            <w14:solidFill>
              <w14:schemeClr w14:val="tx1"/>
            </w14:solidFill>
          </w14:textFill>
        </w:rPr>
        <w:t>评标委员会认为投标人的报价明显低于其他通过符合性审查投标人的报价，有可能影响服务质量或者不能诚信履约的，有权要求其在评审现场合理的时间内提供书面说明，必要时递交相关证明材料；投标人不能证明其报价合理性的，评标委员会有权将其作为无效投标处理。</w:t>
      </w:r>
    </w:p>
    <w:p w14:paraId="71C4CB36">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3.评标委员会应当根据招标文件规定的评审程序、评审方法和评审标准进行独立评审。未实质性响应招标文件的投标文件按无效投标处理，评标委员会应当告知递交投标文件的投标人。</w:t>
      </w:r>
    </w:p>
    <w:p w14:paraId="25B4CFDA">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4.评标委员会应当根据综合评分情况，按照评审得分由高到低顺序推荐成交候选投标人，并编写评审报告。评审得分相同的，按照最后报价由低到高的顺序推荐。评审得分且最后报价相同的，按照技术指标优劣顺序推荐。</w:t>
      </w:r>
    </w:p>
    <w:p w14:paraId="2496B424">
      <w:pPr>
        <w:pStyle w:val="4"/>
        <w:ind w:firstLine="560"/>
      </w:pPr>
      <w:bookmarkStart w:id="72" w:name="_Toc204689910"/>
      <w:r>
        <w:t>（四）评审标准：</w:t>
      </w:r>
      <w:bookmarkStart w:id="73" w:name="_Hlk41314298"/>
      <w:r>
        <w:t>详见“第三章</w:t>
      </w:r>
      <w:r>
        <w:rPr>
          <w:rFonts w:hint="eastAsia"/>
        </w:rPr>
        <w:t xml:space="preserve"> </w:t>
      </w:r>
      <w:r>
        <w:t>评</w:t>
      </w:r>
      <w:r>
        <w:rPr>
          <w:rFonts w:hint="eastAsia"/>
        </w:rPr>
        <w:t>标</w:t>
      </w:r>
      <w:r>
        <w:t>标准”</w:t>
      </w:r>
      <w:bookmarkEnd w:id="73"/>
      <w:r>
        <w:t>。</w:t>
      </w:r>
      <w:bookmarkEnd w:id="72"/>
    </w:p>
    <w:p w14:paraId="448989AB">
      <w:pPr>
        <w:pStyle w:val="4"/>
        <w:ind w:firstLine="560"/>
      </w:pPr>
      <w:bookmarkStart w:id="74" w:name="_Toc204689911"/>
      <w:bookmarkStart w:id="75" w:name="_Hlk173762258"/>
      <w:r>
        <w:t>（五）评审程序</w:t>
      </w:r>
      <w:bookmarkEnd w:id="74"/>
    </w:p>
    <w:bookmarkEnd w:id="75"/>
    <w:p w14:paraId="6B732EA0">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1.初步审查</w:t>
      </w:r>
    </w:p>
    <w:p w14:paraId="3CD0913C">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（1）资格审查标准：详见“第三章评标标准”。</w:t>
      </w:r>
    </w:p>
    <w:p w14:paraId="28606DDC">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（2）符合性审查标准：详见“第三章评标标准”。</w:t>
      </w:r>
    </w:p>
    <w:p w14:paraId="16635A34">
      <w:pPr>
        <w:pStyle w:val="18"/>
        <w:kinsoku w:val="0"/>
        <w:wordWrap/>
        <w:spacing w:line="560" w:lineRule="exact"/>
        <w:ind w:firstLine="560"/>
        <w:textAlignment w:val="baseline"/>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评标委员会依据“第三章评审标准”规定的标准对投标文件进行初步评审。有一项不符合评审标准的，投标文件按无效投标处理，评标委员会应当告知递交投标文件的投标人。</w:t>
      </w:r>
    </w:p>
    <w:p w14:paraId="7C884917">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（3）投标人有以下情形之一的，评标委员会应当否决其投标：</w:t>
      </w:r>
    </w:p>
    <w:p w14:paraId="1368ED25">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①投标文件没有对招标文件的实质性要求和条件作出响应。</w:t>
      </w:r>
    </w:p>
    <w:p w14:paraId="3B5E6C99">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②有串通投标、弄虚作假、行贿等违法行为。</w:t>
      </w:r>
    </w:p>
    <w:p w14:paraId="3079005A">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（4）招标报价有算术错误及其他错误的，评标委员会按本章三（二）4项原则要求投标人对招标报价进行修正，并要求投标人书面澄清确认。投标人拒不澄清确认的，评标委员会应当否决其投标。</w:t>
      </w:r>
    </w:p>
    <w:p w14:paraId="116BF4E3">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2.详细评审</w:t>
      </w:r>
    </w:p>
    <w:p w14:paraId="759E4FF3">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（1）评标委员会按“第三章 评审标准”规定的量化指标和分值独立对每个有效投标的文件进行评价、打分，然后汇总每个投标人每项评分因素的得分。</w:t>
      </w:r>
    </w:p>
    <w:p w14:paraId="556E12EA">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（2）评分分值计算保留小数点后两位，小数点后第三位“四舍五入”。</w:t>
      </w:r>
    </w:p>
    <w:p w14:paraId="7AD87BBD">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3.投标文件的澄清</w:t>
      </w:r>
    </w:p>
    <w:p w14:paraId="5E0FEE9B">
      <w:pPr>
        <w:pStyle w:val="18"/>
        <w:kinsoku w:val="0"/>
        <w:wordWrap/>
        <w:spacing w:line="560" w:lineRule="exact"/>
        <w:ind w:firstLine="560"/>
        <w:jc w:val="both"/>
        <w:textAlignment w:val="baseline"/>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（1）评标委员会在对投标文件的有效性、完整性和响应程度进行审查时，可以要求投标人对投标文件中含义不明确、同类问题表述不一致或者有明显文字和计算错误的内容等作出必要的澄清、说明或者更正。</w:t>
      </w:r>
    </w:p>
    <w:p w14:paraId="24418E58">
      <w:pPr>
        <w:pStyle w:val="18"/>
        <w:kinsoku w:val="0"/>
        <w:wordWrap/>
        <w:spacing w:line="560" w:lineRule="exact"/>
        <w:ind w:firstLine="560"/>
        <w:jc w:val="both"/>
        <w:textAlignment w:val="baseline"/>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2）评标委员会要求投标人澄清、说明或者更正投标文件应当以书面形式作出。投标人的澄清、说明或者更正应当采用书面形式，并加盖公章，或者由法定代表人或其授权的代表签字。投标人的澄清、说明或者补正不得超出投标文件的范围或者改变投标文件的实质性内容。</w:t>
      </w:r>
    </w:p>
    <w:p w14:paraId="01FE9E3D">
      <w:pPr>
        <w:pStyle w:val="3"/>
        <w:ind w:firstLine="562"/>
      </w:pPr>
      <w:bookmarkStart w:id="76" w:name="_Toc204689912"/>
      <w:r>
        <w:rPr>
          <w:rFonts w:hint="eastAsia"/>
        </w:rPr>
        <w:t>七、</w:t>
      </w:r>
      <w:bookmarkEnd w:id="76"/>
      <w:r>
        <w:rPr>
          <w:rFonts w:hint="eastAsia"/>
        </w:rPr>
        <w:t>中标</w:t>
      </w:r>
    </w:p>
    <w:p w14:paraId="20093C97">
      <w:pPr>
        <w:pStyle w:val="4"/>
        <w:ind w:firstLine="560"/>
      </w:pPr>
      <w:bookmarkStart w:id="77" w:name="_Toc204689913"/>
      <w:r>
        <w:t>（一）确定</w:t>
      </w:r>
      <w:bookmarkEnd w:id="77"/>
      <w:r>
        <w:t>中标人</w:t>
      </w:r>
    </w:p>
    <w:p w14:paraId="1D6629B4">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1.评标委员会应当根据综合评分情况，按照评审得分由高到低顺序推荐中标候选人，并编写评审报告。评审得分相同的，按照技术指标优劣顺序推荐。</w:t>
      </w:r>
    </w:p>
    <w:p w14:paraId="735A9563">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评审报告应当由评标委员会全体人员签字认可。评标委员会成员对评审报告有异议的，评标委员会按照少数服从多数的原则推荐成交中标候选人，采购程序继续进行。对评审报告有异议的评标委员会成员，应当在报告上签署不同意见并说明理由，由评标委员会书面记录相关情况。评标委员会成员拒绝在报告上签字又不书面说明其不同意见和理由的，视为同意评审报告。</w:t>
      </w:r>
    </w:p>
    <w:p w14:paraId="7521DD3D">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采购人应当在收到评审报告后5个工作日内，从评审报告提出的中标候选人中，按照排序由高到低的原则确定中标人，也可以书面授权评标委员会直接确定中标人。采购人逾期未确定中标人且不提出异议的，视为确定评审报告提出的排序第一的投标人为中标人。</w:t>
      </w:r>
    </w:p>
    <w:p w14:paraId="2F316B1E">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3.接受和拒绝任何或所有投标的权利</w:t>
      </w:r>
    </w:p>
    <w:p w14:paraId="15E71E6A">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（1）为维护国家和社会公共利益，如发现国家和社会公共利益受到损害时采购人在授标之前任何时候均可拒绝任何投标人成交，且对受影响的投标人不承担任何责任。</w:t>
      </w:r>
    </w:p>
    <w:p w14:paraId="5E868B0B">
      <w:pPr>
        <w:pStyle w:val="18"/>
        <w:wordWrap/>
        <w:spacing w:line="560" w:lineRule="exact"/>
        <w:ind w:firstLine="560"/>
        <w:rPr>
          <w:rFonts w:hint="default" w:ascii="仿宋" w:hAnsi="仿宋" w:eastAsia="仿宋"/>
          <w:bCs/>
          <w:color w:val="000000" w:themeColor="text1"/>
          <w:szCs w:val="28"/>
          <w14:textFill>
            <w14:solidFill>
              <w14:schemeClr w14:val="tx1"/>
            </w14:solidFill>
          </w14:textFill>
        </w:rPr>
      </w:pPr>
      <w:r>
        <w:rPr>
          <w:rFonts w:ascii="仿宋" w:hAnsi="仿宋" w:eastAsia="仿宋"/>
          <w:bCs/>
          <w:color w:val="000000" w:themeColor="text1"/>
          <w:szCs w:val="28"/>
          <w14:textFill>
            <w14:solidFill>
              <w14:schemeClr w14:val="tx1"/>
            </w14:solidFill>
          </w14:textFill>
        </w:rPr>
        <w:t>（2）因不可抗力或成交投标人不能履约等情形，采购人保留与其他候选投标人签订合同的权利。</w:t>
      </w:r>
    </w:p>
    <w:p w14:paraId="6A910A39">
      <w:pPr>
        <w:pStyle w:val="4"/>
        <w:ind w:firstLine="560"/>
      </w:pPr>
      <w:bookmarkStart w:id="78" w:name="_Toc204689914"/>
      <w:r>
        <w:t>（二）评审结果公告</w:t>
      </w:r>
      <w:bookmarkEnd w:id="78"/>
    </w:p>
    <w:p w14:paraId="594215C1">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1.评审结果公告发布媒体及期限：详见“投标人须知前附表”。</w:t>
      </w:r>
    </w:p>
    <w:p w14:paraId="57498047">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2.采购人或者采购代理机构应当在成交投标人确定后2个工作日内，在原招标公告发布的媒体上公告中标结果。</w:t>
      </w:r>
    </w:p>
    <w:p w14:paraId="39CB049A">
      <w:pPr>
        <w:pStyle w:val="4"/>
        <w:ind w:firstLine="560"/>
      </w:pPr>
      <w:bookmarkStart w:id="79" w:name="_Toc204689915"/>
      <w:r>
        <w:t>（三）中标通知</w:t>
      </w:r>
      <w:bookmarkEnd w:id="79"/>
    </w:p>
    <w:p w14:paraId="3C7C557F">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1.在公告成交结果的同时，采购人或者采购代理机构同时向中标人发出成交通知书。成交通知书发出后，采购人不得违法改变成交结果，中标人无正当理由不得放弃中标人。</w:t>
      </w:r>
    </w:p>
    <w:p w14:paraId="08E8C2E8">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2.中标通知书是合同的组成部分。</w:t>
      </w:r>
    </w:p>
    <w:p w14:paraId="6489E29F">
      <w:pPr>
        <w:pStyle w:val="4"/>
        <w:ind w:firstLine="560"/>
      </w:pPr>
      <w:bookmarkStart w:id="80" w:name="_Toc204689916"/>
      <w:r>
        <w:t>（四）履约保证金</w:t>
      </w:r>
      <w:bookmarkEnd w:id="80"/>
    </w:p>
    <w:p w14:paraId="18C7CB46">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本项目是否需要递交履约保证金：详见“投标人须知前附表”。</w:t>
      </w:r>
    </w:p>
    <w:p w14:paraId="43CE0A48">
      <w:pPr>
        <w:pStyle w:val="4"/>
        <w:ind w:firstLine="560"/>
      </w:pPr>
      <w:bookmarkStart w:id="81" w:name="_Toc204689917"/>
      <w:r>
        <w:t>（五）签订合同</w:t>
      </w:r>
      <w:bookmarkEnd w:id="81"/>
    </w:p>
    <w:p w14:paraId="526D3B6E">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中标人自中标通知书发出之日起30日内，持中标通知书原件按照招标文件确定的合同文本以及采购标的、规格型号、采购金额、采购数量、技术和采购需求等事项签订采购合同。采购人不得向中标人提出超出招标文件以外的任何要求作为签订合同的条件，不得与中标人订立背离招标文件确定的合同文本以及采购标的、规格型号、采购金额、采购数量、技术和采购需求等实质性内容的协议。</w:t>
      </w:r>
    </w:p>
    <w:p w14:paraId="438DCB8B">
      <w:pPr>
        <w:pStyle w:val="17"/>
        <w:wordWrap/>
        <w:spacing w:line="56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2.签订方式：书面签订。</w:t>
      </w:r>
    </w:p>
    <w:p w14:paraId="31C67282">
      <w:pPr>
        <w:pStyle w:val="3"/>
        <w:ind w:firstLine="562"/>
      </w:pPr>
      <w:bookmarkStart w:id="82" w:name="_Toc204689918"/>
      <w:r>
        <w:rPr>
          <w:rFonts w:hint="eastAsia"/>
        </w:rPr>
        <w:t>八、中标服务费</w:t>
      </w:r>
      <w:bookmarkEnd w:id="82"/>
    </w:p>
    <w:p w14:paraId="637D6DDA">
      <w:pPr>
        <w:pStyle w:val="4"/>
        <w:ind w:firstLine="560"/>
      </w:pPr>
      <w:bookmarkStart w:id="83" w:name="_Toc204689919"/>
      <w:r>
        <w:t>（一）采购机构代理服务收费</w:t>
      </w:r>
      <w:r>
        <w:rPr>
          <w:rFonts w:hint="eastAsia"/>
        </w:rPr>
        <w:t>金额</w:t>
      </w:r>
      <w:r>
        <w:t>：</w:t>
      </w:r>
      <w:bookmarkEnd w:id="83"/>
      <w:r>
        <w:t xml:space="preserve"> 贰万伍仟元整</w:t>
      </w:r>
    </w:p>
    <w:p w14:paraId="5DEC2C45">
      <w:pPr>
        <w:pStyle w:val="4"/>
        <w:ind w:firstLine="560"/>
        <w:rPr>
          <w:rFonts w:ascii="仿宋" w:hAnsi="仿宋"/>
          <w:szCs w:val="28"/>
        </w:rPr>
      </w:pPr>
      <w:bookmarkStart w:id="84" w:name="_Toc204689920"/>
      <w:r>
        <w:rPr>
          <w:rFonts w:ascii="仿宋" w:hAnsi="仿宋"/>
          <w:szCs w:val="28"/>
        </w:rPr>
        <w:t xml:space="preserve">（二）成交服务费收取对象： </w:t>
      </w:r>
      <w:bookmarkEnd w:id="84"/>
      <w:r>
        <w:rPr>
          <w:rFonts w:ascii="仿宋" w:hAnsi="仿宋"/>
          <w:szCs w:val="28"/>
        </w:rPr>
        <w:t>由中标人支付。</w:t>
      </w:r>
    </w:p>
    <w:p w14:paraId="486B385F">
      <w:pPr>
        <w:pStyle w:val="4"/>
        <w:ind w:firstLine="560"/>
        <w:rPr>
          <w:rFonts w:ascii="仿宋" w:hAnsi="仿宋"/>
          <w:szCs w:val="28"/>
        </w:rPr>
      </w:pPr>
      <w:bookmarkStart w:id="85" w:name="_Toc204689921"/>
      <w:r>
        <w:rPr>
          <w:rFonts w:ascii="仿宋" w:hAnsi="仿宋"/>
          <w:szCs w:val="28"/>
        </w:rPr>
        <w:t>（三）服务费交纳方式：以汇款方式交纳。</w:t>
      </w:r>
      <w:bookmarkEnd w:id="85"/>
    </w:p>
    <w:p w14:paraId="545E5E2A">
      <w:pPr>
        <w:pStyle w:val="4"/>
        <w:ind w:firstLine="560"/>
        <w:rPr>
          <w:rFonts w:ascii="仿宋" w:hAnsi="仿宋"/>
          <w:szCs w:val="28"/>
        </w:rPr>
      </w:pPr>
      <w:bookmarkStart w:id="86" w:name="_Toc204689922"/>
      <w:r>
        <w:rPr>
          <w:rFonts w:ascii="仿宋" w:hAnsi="仿宋"/>
          <w:szCs w:val="28"/>
        </w:rPr>
        <w:t>（四）服务费交纳账户</w:t>
      </w:r>
      <w:bookmarkEnd w:id="86"/>
    </w:p>
    <w:p w14:paraId="434F604D">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开户名全称：北京明世继元招标有限公司</w:t>
      </w:r>
    </w:p>
    <w:p w14:paraId="572E4B27">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开户银行：中国民生银行北京广安门支行</w:t>
      </w:r>
    </w:p>
    <w:p w14:paraId="505CE478">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账  号：0117014170014132</w:t>
      </w:r>
    </w:p>
    <w:p w14:paraId="4B92230E">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联系人：齐红艳</w:t>
      </w:r>
    </w:p>
    <w:p w14:paraId="4057B623">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联系电话:010-63341555</w:t>
      </w:r>
    </w:p>
    <w:p w14:paraId="16B5C289">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邮箱：bjmsjy@163.com</w:t>
      </w:r>
    </w:p>
    <w:p w14:paraId="2B831966">
      <w:pPr>
        <w:pStyle w:val="3"/>
        <w:ind w:firstLine="562"/>
      </w:pPr>
      <w:bookmarkStart w:id="87" w:name="_Toc204689923"/>
      <w:r>
        <w:rPr>
          <w:rFonts w:hint="eastAsia"/>
        </w:rPr>
        <w:t>九、</w:t>
      </w:r>
      <w:bookmarkEnd w:id="87"/>
      <w:r>
        <w:rPr>
          <w:rFonts w:hint="eastAsia"/>
        </w:rPr>
        <w:t>争议事项</w:t>
      </w:r>
    </w:p>
    <w:p w14:paraId="1C2F833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按照《赤峰市医院采购管理制度》的相关规定，处理办法如下：</w:t>
      </w:r>
    </w:p>
    <w:p w14:paraId="65CA4B3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（一）争议提出时限：供应商认为采购文件、采购过程和中标、成交结果使自己的权益受到损害的，可以在知道或者应知其权益受到损害之日起 </w:t>
      </w: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个工作日内，以书面形式一次性提出针对同一采购程序环节的争议。对同一采购程序环节提出的后续多次争议将不予接受。</w:t>
      </w:r>
    </w:p>
    <w:p w14:paraId="1CB3920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1.提出争议应当提交争议函和必要的证明材料。</w:t>
      </w:r>
    </w:p>
    <w:p w14:paraId="2FF71B9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2.争议函须加盖公章，并应当包括下列内容：</w:t>
      </w:r>
    </w:p>
    <w:p w14:paraId="35E98CE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（1）争议人名称、地址、邮编、联系人及联系电话；</w:t>
      </w:r>
    </w:p>
    <w:p w14:paraId="5BCE493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（2）采购公告日期，争议项目的名称；</w:t>
      </w:r>
    </w:p>
    <w:p w14:paraId="13DC772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（3）具体、明确的争议事项和与争议事项相关的请求；</w:t>
      </w:r>
    </w:p>
    <w:p w14:paraId="0BD43D1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（4）事实依据；</w:t>
      </w:r>
    </w:p>
    <w:p w14:paraId="68390D2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（5）必要的法律依据；</w:t>
      </w:r>
    </w:p>
    <w:p w14:paraId="6FBA4A8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（6）提出争议的日期；</w:t>
      </w:r>
    </w:p>
    <w:p w14:paraId="58CB556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（7）争议人为自然人的，应当由本人签字；</w:t>
      </w:r>
    </w:p>
    <w:p w14:paraId="0B97F0D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（8）争议人为法人的应当由法定代表人或者其授权代表签字并加盖公章。</w:t>
      </w:r>
    </w:p>
    <w:p w14:paraId="5F001AB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3.法定代表人授权委托书原件并加盖公章。授权委托书应当载明代理人的姓名或者名称、代理事项、具体权限、期限和相关事项，并由法定代表人签字并加盖公章。</w:t>
      </w:r>
    </w:p>
    <w:p w14:paraId="220D9C7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（二）争议受理时限：采购人、采购代理机构应当在收到供应商的书面争议后 </w:t>
      </w:r>
      <w:r>
        <w:rPr>
          <w:rFonts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 xml:space="preserve">个工作日内作出答复，并以书面形式通知争议供应商和其他有关供应商，但答复的内容不得涉及商业秘密。 </w:t>
      </w:r>
    </w:p>
    <w:p w14:paraId="685330B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（三）举报时限：争议供应商对采购人、采购代理机构的答复不满意或者采购人、采购代理机构未在规定的时间内作出答复的，可以在答复期满后 </w:t>
      </w:r>
      <w:r>
        <w:rPr>
          <w:rFonts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个工作日内向医院纪检监察部门进行举报。</w:t>
      </w:r>
    </w:p>
    <w:p w14:paraId="76B679AC">
      <w:pPr>
        <w:widowControl/>
        <w:spacing w:after="0" w:line="560" w:lineRule="exact"/>
        <w:ind w:firstLine="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br w:type="page"/>
      </w:r>
    </w:p>
    <w:p w14:paraId="1B99AA44">
      <w:pPr>
        <w:spacing w:after="0" w:line="560" w:lineRule="exact"/>
        <w:ind w:firstLine="200"/>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关于********（项目名称）（包号）争议函范本</w:t>
      </w:r>
    </w:p>
    <w:p w14:paraId="7125A4FA">
      <w:pPr>
        <w:widowControl/>
        <w:spacing w:after="0" w:line="560" w:lineRule="exact"/>
        <w:ind w:firstLine="200"/>
        <w:jc w:val="center"/>
        <w:textAlignment w:val="baseline"/>
        <w:rPr>
          <w:rFonts w:ascii="仿宋" w:hAnsi="仿宋" w:eastAsia="仿宋"/>
          <w:bCs/>
          <w:color w:val="000000" w:themeColor="text1"/>
          <w:sz w:val="28"/>
          <w:szCs w:val="28"/>
          <w14:textFill>
            <w14:solidFill>
              <w14:schemeClr w14:val="tx1"/>
            </w14:solidFill>
          </w14:textFill>
        </w:rPr>
      </w:pPr>
    </w:p>
    <w:p w14:paraId="4C370674">
      <w:pPr>
        <w:widowControl/>
        <w:numPr>
          <w:ilvl w:val="0"/>
          <w:numId w:val="2"/>
        </w:numPr>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提出争议供应商基本信息</w:t>
      </w:r>
    </w:p>
    <w:p w14:paraId="75FF5EE3">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提出争议供应商：</w:t>
      </w:r>
    </w:p>
    <w:p w14:paraId="60E826FE">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地址：</w:t>
      </w:r>
    </w:p>
    <w:p w14:paraId="452CDA48">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邮编：</w:t>
      </w:r>
    </w:p>
    <w:p w14:paraId="64BEC73C">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法人：</w:t>
      </w:r>
    </w:p>
    <w:p w14:paraId="05EE22CA">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法人联系电话：</w:t>
      </w:r>
    </w:p>
    <w:p w14:paraId="1BB958A1">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授权代表：</w:t>
      </w:r>
    </w:p>
    <w:p w14:paraId="3089E9A3">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授权代表联系电话：</w:t>
      </w:r>
    </w:p>
    <w:p w14:paraId="35D4E131">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p>
    <w:p w14:paraId="42CFD983">
      <w:pPr>
        <w:widowControl/>
        <w:numPr>
          <w:ilvl w:val="0"/>
          <w:numId w:val="2"/>
        </w:numPr>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争议项目基本情况</w:t>
      </w:r>
    </w:p>
    <w:p w14:paraId="3AD83FB8">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争议项目名称：</w:t>
      </w:r>
    </w:p>
    <w:p w14:paraId="15115A7A">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争议项目编号：</w:t>
      </w:r>
    </w:p>
    <w:p w14:paraId="55C8AB9F">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采购人名称：</w:t>
      </w:r>
    </w:p>
    <w:p w14:paraId="0E6CE089">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p>
    <w:p w14:paraId="01EE9F38">
      <w:pPr>
        <w:widowControl/>
        <w:numPr>
          <w:ilvl w:val="0"/>
          <w:numId w:val="2"/>
        </w:numPr>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争议事项具体内容</w:t>
      </w:r>
    </w:p>
    <w:p w14:paraId="3A5EEAB4">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争议一：1、争议内容</w:t>
      </w:r>
    </w:p>
    <w:p w14:paraId="665EE08B">
      <w:pPr>
        <w:widowControl/>
        <w:numPr>
          <w:ilvl w:val="0"/>
          <w:numId w:val="3"/>
        </w:numPr>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必要的法律依据</w:t>
      </w:r>
    </w:p>
    <w:p w14:paraId="60D92D94">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p>
    <w:p w14:paraId="06B674FD">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争议二：1、争议内容</w:t>
      </w:r>
    </w:p>
    <w:p w14:paraId="20B2C8CE">
      <w:pPr>
        <w:widowControl/>
        <w:spacing w:after="0" w:line="560" w:lineRule="exact"/>
        <w:ind w:left="1120"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2、必要的法律依据</w:t>
      </w:r>
    </w:p>
    <w:p w14:paraId="05CE57D6">
      <w:pPr>
        <w:widowControl/>
        <w:numPr>
          <w:ilvl w:val="0"/>
          <w:numId w:val="2"/>
        </w:numPr>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与争议事项相关的争议请求</w:t>
      </w:r>
    </w:p>
    <w:p w14:paraId="580C6DC7">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请求：</w:t>
      </w:r>
    </w:p>
    <w:p w14:paraId="6FDC5E9B">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p>
    <w:p w14:paraId="74264F0D">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p>
    <w:p w14:paraId="7CB3918B">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p>
    <w:p w14:paraId="0FE36A06">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p>
    <w:p w14:paraId="22672AA5">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p>
    <w:p w14:paraId="6ADBB3D6">
      <w:pPr>
        <w:widowControl/>
        <w:spacing w:after="0" w:line="560" w:lineRule="exact"/>
        <w:ind w:firstLine="2240" w:firstLineChars="8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提出争议单位（盖章）：</w:t>
      </w:r>
    </w:p>
    <w:p w14:paraId="098F05EB">
      <w:pPr>
        <w:widowControl/>
        <w:spacing w:after="0" w:line="560" w:lineRule="exact"/>
        <w:ind w:firstLine="2240" w:firstLineChars="8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法人签字或盖章：</w:t>
      </w:r>
    </w:p>
    <w:p w14:paraId="4EE2AE82">
      <w:pPr>
        <w:widowControl/>
        <w:spacing w:after="0" w:line="560" w:lineRule="exact"/>
        <w:ind w:firstLine="2240" w:firstLineChars="800"/>
        <w:jc w:val="both"/>
        <w:textAlignment w:val="baseline"/>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法人授权代表签字：</w:t>
      </w:r>
    </w:p>
    <w:p w14:paraId="694D9C86">
      <w:pPr>
        <w:widowControl/>
        <w:spacing w:after="0" w:line="560" w:lineRule="exact"/>
        <w:ind w:firstLine="5880" w:firstLineChars="2100"/>
        <w:jc w:val="both"/>
        <w:textAlignment w:val="baseline"/>
        <w:rPr>
          <w:rFonts w:ascii="仿宋" w:hAnsi="仿宋" w:eastAsia="仿宋"/>
          <w:bCs/>
          <w:color w:val="000000" w:themeColor="text1"/>
          <w:sz w:val="28"/>
          <w:szCs w:val="28"/>
          <w14:textFill>
            <w14:solidFill>
              <w14:schemeClr w14:val="tx1"/>
            </w14:solidFill>
          </w14:textFill>
        </w:rPr>
      </w:pPr>
    </w:p>
    <w:p w14:paraId="617A9EB7">
      <w:pPr>
        <w:widowControl/>
        <w:spacing w:after="0" w:line="560" w:lineRule="exact"/>
        <w:ind w:firstLine="200"/>
        <w:jc w:val="both"/>
        <w:textAlignment w:val="baseline"/>
        <w:rPr>
          <w:rFonts w:ascii="仿宋" w:hAnsi="仿宋" w:eastAsia="仿宋"/>
          <w:bCs/>
          <w:color w:val="000000" w:themeColor="text1"/>
          <w:sz w:val="28"/>
          <w:szCs w:val="28"/>
          <w14:textFill>
            <w14:solidFill>
              <w14:schemeClr w14:val="tx1"/>
            </w14:solidFill>
          </w14:textFill>
        </w:rPr>
      </w:pPr>
    </w:p>
    <w:p w14:paraId="66F2DA95">
      <w:pPr>
        <w:pStyle w:val="16"/>
        <w:spacing w:after="0" w:line="560" w:lineRule="exact"/>
        <w:ind w:left="1680" w:firstLine="200"/>
        <w:rPr>
          <w:rFonts w:ascii="宋体" w:hAnsi="宋体" w:eastAsia="仿宋"/>
          <w:b/>
          <w:bCs/>
          <w:color w:val="000000" w:themeColor="text1"/>
          <w:sz w:val="24"/>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日期：</w:t>
      </w:r>
    </w:p>
    <w:p w14:paraId="08F4A9E7">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3F9AC499">
      <w:pPr>
        <w:pStyle w:val="2"/>
      </w:pPr>
      <w:bookmarkStart w:id="88" w:name="_Toc204689924"/>
      <w:r>
        <w:rPr>
          <w:rFonts w:hint="eastAsia"/>
        </w:rPr>
        <w:t xml:space="preserve">第二章 </w:t>
      </w:r>
      <w:r>
        <w:t xml:space="preserve"> </w:t>
      </w:r>
      <w:bookmarkEnd w:id="88"/>
      <w:r>
        <w:rPr>
          <w:rFonts w:hint="eastAsia"/>
        </w:rPr>
        <w:t>采购需求</w:t>
      </w:r>
    </w:p>
    <w:p w14:paraId="2C9C380E">
      <w:pPr>
        <w:pStyle w:val="3"/>
        <w:ind w:firstLine="562"/>
        <w:rPr>
          <w:rFonts w:ascii="仿宋" w:hAnsi="仿宋"/>
          <w:b w:val="0"/>
          <w:bCs/>
          <w:szCs w:val="28"/>
        </w:rPr>
      </w:pPr>
      <w:bookmarkStart w:id="89" w:name="_Toc204689925"/>
      <w:r>
        <w:rPr>
          <w:rFonts w:hint="eastAsia" w:ascii="仿宋" w:hAnsi="仿宋"/>
          <w:szCs w:val="28"/>
        </w:rPr>
        <w:t>一、</w:t>
      </w:r>
      <w:r>
        <w:rPr>
          <w:rFonts w:hint="eastAsia" w:ascii="仿宋" w:hAnsi="仿宋"/>
          <w:bCs/>
          <w:sz w:val="24"/>
        </w:rPr>
        <w:t>★</w:t>
      </w:r>
      <w:r>
        <w:rPr>
          <w:rFonts w:hint="eastAsia" w:ascii="仿宋" w:hAnsi="仿宋"/>
          <w:szCs w:val="28"/>
        </w:rPr>
        <w:t>服务地点：</w:t>
      </w:r>
      <w:r>
        <w:rPr>
          <w:rFonts w:hint="eastAsia" w:ascii="仿宋" w:hAnsi="仿宋"/>
          <w:b w:val="0"/>
          <w:szCs w:val="28"/>
        </w:rPr>
        <w:t>内蒙古自治区赤峰市</w:t>
      </w:r>
      <w:bookmarkEnd w:id="89"/>
      <w:r>
        <w:rPr>
          <w:rFonts w:hint="eastAsia" w:ascii="仿宋" w:hAnsi="仿宋"/>
          <w:b w:val="0"/>
          <w:szCs w:val="28"/>
        </w:rPr>
        <w:t>。</w:t>
      </w:r>
    </w:p>
    <w:p w14:paraId="001F313B">
      <w:pPr>
        <w:pStyle w:val="3"/>
        <w:ind w:firstLine="562"/>
        <w:rPr>
          <w:rFonts w:ascii="仿宋" w:hAnsi="仿宋"/>
          <w:szCs w:val="28"/>
        </w:rPr>
      </w:pPr>
      <w:bookmarkStart w:id="90" w:name="_Toc204689926"/>
      <w:r>
        <w:rPr>
          <w:rFonts w:hint="eastAsia" w:ascii="仿宋" w:hAnsi="仿宋"/>
          <w:szCs w:val="28"/>
        </w:rPr>
        <w:t>二、</w:t>
      </w:r>
      <w:r>
        <w:rPr>
          <w:rFonts w:hint="eastAsia" w:ascii="仿宋" w:hAnsi="仿宋"/>
          <w:bCs/>
          <w:sz w:val="24"/>
        </w:rPr>
        <w:t>★</w:t>
      </w:r>
      <w:r>
        <w:rPr>
          <w:rFonts w:hint="eastAsia" w:ascii="仿宋" w:hAnsi="仿宋"/>
          <w:szCs w:val="28"/>
        </w:rPr>
        <w:t>服务期：</w:t>
      </w:r>
      <w:bookmarkEnd w:id="90"/>
      <w:bookmarkStart w:id="91" w:name="OLE_LINK19"/>
      <w:bookmarkStart w:id="92" w:name="OLE_LINK18"/>
      <w:r>
        <w:rPr>
          <w:rFonts w:hint="eastAsia" w:ascii="仿宋" w:hAnsi="仿宋"/>
          <w:b w:val="0"/>
          <w:szCs w:val="28"/>
        </w:rPr>
        <w:t>自加入集合计划后三年</w:t>
      </w:r>
      <w:bookmarkEnd w:id="91"/>
      <w:bookmarkEnd w:id="92"/>
      <w:r>
        <w:rPr>
          <w:rFonts w:hint="eastAsia" w:ascii="仿宋" w:hAnsi="仿宋"/>
          <w:b w:val="0"/>
          <w:szCs w:val="28"/>
        </w:rPr>
        <w:t>。</w:t>
      </w:r>
    </w:p>
    <w:p w14:paraId="21109067">
      <w:pPr>
        <w:pStyle w:val="3"/>
        <w:ind w:firstLine="562"/>
      </w:pPr>
      <w:bookmarkStart w:id="93" w:name="_Toc204689928"/>
      <w:r>
        <w:rPr>
          <w:rFonts w:hint="eastAsia"/>
        </w:rPr>
        <w:t>三、</w:t>
      </w:r>
      <w:r>
        <w:rPr>
          <w:rFonts w:hint="eastAsia" w:ascii="仿宋" w:hAnsi="仿宋"/>
          <w:bCs/>
          <w:sz w:val="24"/>
        </w:rPr>
        <w:t>★</w:t>
      </w:r>
      <w:r>
        <w:rPr>
          <w:rFonts w:hint="eastAsia"/>
        </w:rPr>
        <w:t>服务内容：</w:t>
      </w:r>
      <w:bookmarkEnd w:id="93"/>
    </w:p>
    <w:p w14:paraId="2733BD35">
      <w:pPr>
        <w:widowControl/>
        <w:shd w:val="clear" w:color="auto" w:fill="FFFFFF"/>
        <w:wordWrap w:val="0"/>
        <w:spacing w:line="560" w:lineRule="exact"/>
        <w:ind w:firstLine="560" w:firstLineChars="200"/>
        <w:rPr>
          <w:rFonts w:ascii="仿宋" w:hAnsi="仿宋" w:eastAsia="仿宋"/>
          <w:bCs/>
          <w:sz w:val="28"/>
          <w:szCs w:val="28"/>
        </w:rPr>
      </w:pPr>
      <w:bookmarkStart w:id="94" w:name="_Hlk215399511"/>
      <w:bookmarkStart w:id="95" w:name="OLE_LINK20"/>
      <w:bookmarkStart w:id="96" w:name="OLE_LINK21"/>
      <w:r>
        <w:rPr>
          <w:rFonts w:hint="eastAsia" w:ascii="仿宋" w:hAnsi="仿宋" w:eastAsia="仿宋"/>
          <w:bCs/>
          <w:sz w:val="28"/>
          <w:szCs w:val="28"/>
        </w:rPr>
        <w:t>选聘一家具有企业年金受托资格的机构，作为赤峰市医院部分职工企业年金计划的受托人，采取集合计划的方式进行管理，具体的受托业务范围按照《企业年金基金管理办法》（人社部11号令）、《企业年金办法》（人社部36号令）等相关政策和法律法规，以及国家、自治区、市人社部门关于开展企业年金的有关规定。</w:t>
      </w:r>
    </w:p>
    <w:bookmarkEnd w:id="94"/>
    <w:bookmarkEnd w:id="95"/>
    <w:bookmarkEnd w:id="96"/>
    <w:p w14:paraId="06A28AAA">
      <w:pPr>
        <w:pStyle w:val="3"/>
        <w:ind w:firstLine="562"/>
        <w:rPr>
          <w:color w:val="auto"/>
        </w:rPr>
      </w:pPr>
      <w:r>
        <w:rPr>
          <w:rFonts w:hint="eastAsia"/>
          <w:color w:val="auto"/>
        </w:rPr>
        <w:t>四、</w:t>
      </w:r>
      <w:r>
        <w:rPr>
          <w:rFonts w:hint="eastAsia" w:ascii="仿宋" w:hAnsi="仿宋"/>
          <w:bCs/>
          <w:sz w:val="24"/>
        </w:rPr>
        <w:t>★</w:t>
      </w:r>
      <w:r>
        <w:rPr>
          <w:rFonts w:hint="eastAsia"/>
          <w:color w:val="auto"/>
        </w:rPr>
        <w:t>服务要求相关：</w:t>
      </w:r>
    </w:p>
    <w:p w14:paraId="24AE5275">
      <w:pPr>
        <w:pStyle w:val="4"/>
        <w:ind w:firstLine="560"/>
        <w:rPr>
          <w:color w:val="auto"/>
        </w:rPr>
      </w:pPr>
      <w:r>
        <w:rPr>
          <w:rFonts w:hint="eastAsia"/>
          <w:color w:val="auto"/>
        </w:rPr>
        <w:t>（一）服务要求</w:t>
      </w:r>
    </w:p>
    <w:p w14:paraId="4E9E1CE8">
      <w:pPr>
        <w:spacing w:after="0" w:line="56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严格遵守《企业年金基金管理办法》（人社部11号令）、《企业年金办法》（人社部36号令）等相关政策和法律法规，以及国家、自治区、市人社部门关于开展企业年金的有关规定和要求。</w:t>
      </w:r>
    </w:p>
    <w:p w14:paraId="22C7D849">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1</w:t>
      </w:r>
      <w:r>
        <w:rPr>
          <w:rFonts w:ascii="仿宋" w:hAnsi="仿宋" w:eastAsia="仿宋" w:cs="Times New Roman"/>
          <w:bCs/>
          <w:sz w:val="28"/>
          <w:szCs w:val="28"/>
        </w:rPr>
        <w:t>.</w:t>
      </w:r>
      <w:r>
        <w:rPr>
          <w:rFonts w:hint="eastAsia" w:ascii="仿宋" w:hAnsi="仿宋" w:eastAsia="仿宋" w:cs="Times New Roman"/>
          <w:bCs/>
          <w:sz w:val="28"/>
          <w:szCs w:val="28"/>
        </w:rPr>
        <w:t>受托人应严格遵守法律法规规定和双方合同约定，恪尽职守，按照诚实、信用、谨慎、勤勉的原则，履行受托管理职责，本着受益人长期利益最大化原则履行受托职责。</w:t>
      </w:r>
    </w:p>
    <w:p w14:paraId="67C1207D">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2</w:t>
      </w:r>
      <w:r>
        <w:rPr>
          <w:rFonts w:ascii="仿宋" w:hAnsi="仿宋" w:eastAsia="仿宋" w:cs="Times New Roman"/>
          <w:bCs/>
          <w:sz w:val="28"/>
          <w:szCs w:val="28"/>
        </w:rPr>
        <w:t>.</w:t>
      </w:r>
      <w:r>
        <w:rPr>
          <w:rFonts w:hint="eastAsia" w:ascii="仿宋" w:hAnsi="仿宋" w:eastAsia="仿宋" w:cs="Times New Roman"/>
          <w:bCs/>
          <w:sz w:val="28"/>
          <w:szCs w:val="28"/>
        </w:rPr>
        <w:t>受托人应按照法律法规规定及合同约定监督企业年金基金管理，督促账户管理人、托管人及投资管理人诚实、信用、勤勉、尽责地履行企业年金基金管理职责。</w:t>
      </w:r>
    </w:p>
    <w:p w14:paraId="77084F8C">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3</w:t>
      </w:r>
      <w:r>
        <w:rPr>
          <w:rFonts w:ascii="仿宋" w:hAnsi="仿宋" w:eastAsia="仿宋" w:cs="Times New Roman"/>
          <w:bCs/>
          <w:sz w:val="28"/>
          <w:szCs w:val="28"/>
        </w:rPr>
        <w:t>.</w:t>
      </w:r>
      <w:r>
        <w:rPr>
          <w:rFonts w:hint="eastAsia" w:ascii="仿宋" w:hAnsi="仿宋" w:eastAsia="仿宋" w:cs="Times New Roman"/>
          <w:bCs/>
          <w:sz w:val="28"/>
          <w:szCs w:val="28"/>
        </w:rPr>
        <w:t>受托人应监督账户管理人、托管人以及投资管理人的行为，如发现账户管理人、托管人以及投资管理人违反合同及法律法规，应当采取必要措施保护委托人及受益人的利益，并及时向委托人及人力资源社会保障行政部门报告。</w:t>
      </w:r>
    </w:p>
    <w:p w14:paraId="14E09C88">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4</w:t>
      </w:r>
      <w:r>
        <w:rPr>
          <w:rFonts w:ascii="仿宋" w:hAnsi="仿宋" w:eastAsia="仿宋" w:cs="Times New Roman"/>
          <w:bCs/>
          <w:sz w:val="28"/>
          <w:szCs w:val="28"/>
        </w:rPr>
        <w:t>.</w:t>
      </w:r>
      <w:r>
        <w:rPr>
          <w:rFonts w:hint="eastAsia" w:ascii="仿宋" w:hAnsi="仿宋" w:eastAsia="仿宋" w:cs="Times New Roman"/>
          <w:bCs/>
          <w:sz w:val="28"/>
          <w:szCs w:val="28"/>
        </w:rPr>
        <w:t>受托人选择的账户管理人、托管人及投资管理人未诚实、信用、勤勉、尽责地履行企业年金基金管理职责，由此给企业年金基金财产造成损失的，由账户管理人、托管人及投资管理人负责赔偿相关损失，受托人依法承担相关法律责任。</w:t>
      </w:r>
    </w:p>
    <w:p w14:paraId="07E1CBD3">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5</w:t>
      </w:r>
      <w:r>
        <w:rPr>
          <w:rFonts w:ascii="仿宋" w:hAnsi="仿宋" w:eastAsia="仿宋" w:cs="Times New Roman"/>
          <w:bCs/>
          <w:sz w:val="28"/>
          <w:szCs w:val="28"/>
        </w:rPr>
        <w:t>.</w:t>
      </w:r>
      <w:r>
        <w:rPr>
          <w:rFonts w:hint="eastAsia" w:ascii="仿宋" w:hAnsi="仿宋" w:eastAsia="仿宋" w:cs="Times New Roman"/>
          <w:bCs/>
          <w:sz w:val="28"/>
          <w:szCs w:val="28"/>
        </w:rPr>
        <w:t>受托人应要求账户管理人向委托人和受益人提供企业年金基金查询服务。</w:t>
      </w:r>
    </w:p>
    <w:p w14:paraId="7C551CE3">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6</w:t>
      </w:r>
      <w:r>
        <w:rPr>
          <w:rFonts w:ascii="仿宋" w:hAnsi="仿宋" w:eastAsia="仿宋" w:cs="Times New Roman"/>
          <w:bCs/>
          <w:sz w:val="28"/>
          <w:szCs w:val="28"/>
        </w:rPr>
        <w:t>.</w:t>
      </w:r>
      <w:r>
        <w:rPr>
          <w:rFonts w:hint="eastAsia" w:ascii="仿宋" w:hAnsi="仿宋" w:eastAsia="仿宋" w:cs="Times New Roman"/>
          <w:bCs/>
          <w:sz w:val="28"/>
          <w:szCs w:val="28"/>
        </w:rPr>
        <w:t>受托人应依据企业年金方案和合同的约定审核委托人缴费、职工缴费和企业年金待遇支付，及时收取企业和职工缴费，及时、足额向受益人支付企业年金待遇。</w:t>
      </w:r>
    </w:p>
    <w:p w14:paraId="68423C5B">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7</w:t>
      </w:r>
      <w:r>
        <w:rPr>
          <w:rFonts w:ascii="仿宋" w:hAnsi="仿宋" w:eastAsia="仿宋" w:cs="Times New Roman"/>
          <w:bCs/>
          <w:sz w:val="28"/>
          <w:szCs w:val="28"/>
        </w:rPr>
        <w:t>.</w:t>
      </w:r>
      <w:r>
        <w:rPr>
          <w:rFonts w:hint="eastAsia" w:ascii="仿宋" w:hAnsi="仿宋" w:eastAsia="仿宋" w:cs="Times New Roman"/>
          <w:bCs/>
          <w:sz w:val="28"/>
          <w:szCs w:val="28"/>
        </w:rPr>
        <w:t>受托人应及时向委托人和有关监管部门提供企业年金基金管理报告，并提供相关查询内容，对报告内容的真实性、完整性、准确性负责。</w:t>
      </w:r>
    </w:p>
    <w:p w14:paraId="50124DB1">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8</w:t>
      </w:r>
      <w:r>
        <w:rPr>
          <w:rFonts w:ascii="仿宋" w:hAnsi="仿宋" w:eastAsia="仿宋" w:cs="Times New Roman"/>
          <w:bCs/>
          <w:sz w:val="28"/>
          <w:szCs w:val="28"/>
        </w:rPr>
        <w:t>.</w:t>
      </w:r>
      <w:r>
        <w:rPr>
          <w:rFonts w:hint="eastAsia" w:ascii="仿宋" w:hAnsi="仿宋" w:eastAsia="仿宋" w:cs="Times New Roman"/>
          <w:bCs/>
          <w:sz w:val="28"/>
          <w:szCs w:val="28"/>
        </w:rPr>
        <w:t>受托人应为本项目配置服务团队具有明确的服务标准和服务时效；应具备受托系统研发能力，保障服务的便捷度；应具有同步灾备系统，能保证信息、数据的安全性。</w:t>
      </w:r>
    </w:p>
    <w:p w14:paraId="693B68F3">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9</w:t>
      </w:r>
      <w:r>
        <w:rPr>
          <w:rFonts w:ascii="仿宋" w:hAnsi="仿宋" w:eastAsia="仿宋" w:cs="Times New Roman"/>
          <w:bCs/>
          <w:sz w:val="28"/>
          <w:szCs w:val="28"/>
        </w:rPr>
        <w:t>.</w:t>
      </w:r>
      <w:r>
        <w:rPr>
          <w:rFonts w:hint="eastAsia" w:ascii="仿宋" w:hAnsi="仿宋" w:eastAsia="仿宋" w:cs="Times New Roman"/>
          <w:bCs/>
          <w:sz w:val="28"/>
          <w:szCs w:val="28"/>
        </w:rPr>
        <w:t>受托人应具备完整的投资监督体系，保证日常持续监督；针对年金投资监管利用实时自动IT监督系统，运用各种风险评估工具、指标来控制投资风险；对不同管理人的事前、事中和事后的风控制度和流程，能明晰相关风险点及其监督防范方法。</w:t>
      </w:r>
    </w:p>
    <w:p w14:paraId="27361077">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1</w:t>
      </w:r>
      <w:r>
        <w:rPr>
          <w:rFonts w:ascii="仿宋" w:hAnsi="仿宋" w:eastAsia="仿宋" w:cs="Times New Roman"/>
          <w:bCs/>
          <w:sz w:val="28"/>
          <w:szCs w:val="28"/>
        </w:rPr>
        <w:t>0.</w:t>
      </w:r>
      <w:r>
        <w:rPr>
          <w:rFonts w:hint="eastAsia" w:ascii="仿宋" w:hAnsi="仿宋" w:eastAsia="仿宋" w:cs="Times New Roman"/>
          <w:bCs/>
          <w:sz w:val="28"/>
          <w:szCs w:val="28"/>
        </w:rPr>
        <w:t>受托人应将委托人企业年金基金财产与自身管理的其他财产分别管理、分别记账。管理、处分企业年金基金财产所产生的债权债务，不得与自身管理的其他财产所产生的债权债务相抵销。</w:t>
      </w:r>
    </w:p>
    <w:p w14:paraId="60226511">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1</w:t>
      </w:r>
      <w:r>
        <w:rPr>
          <w:rFonts w:ascii="仿宋" w:hAnsi="仿宋" w:eastAsia="仿宋" w:cs="Times New Roman"/>
          <w:bCs/>
          <w:sz w:val="28"/>
          <w:szCs w:val="28"/>
        </w:rPr>
        <w:t>1.</w:t>
      </w:r>
      <w:r>
        <w:rPr>
          <w:rFonts w:hint="eastAsia" w:ascii="仿宋" w:hAnsi="仿宋" w:eastAsia="仿宋" w:cs="Times New Roman"/>
          <w:bCs/>
          <w:sz w:val="28"/>
          <w:szCs w:val="28"/>
        </w:rPr>
        <w:t>受托人应按照法律法规规定，接受人力资源社会保障行政部门的监管，积极履行相关备案和报告的义务。</w:t>
      </w:r>
    </w:p>
    <w:p w14:paraId="228C3417">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1</w:t>
      </w:r>
      <w:r>
        <w:rPr>
          <w:rFonts w:ascii="仿宋" w:hAnsi="仿宋" w:eastAsia="仿宋" w:cs="Times New Roman"/>
          <w:bCs/>
          <w:sz w:val="28"/>
          <w:szCs w:val="28"/>
        </w:rPr>
        <w:t>2.</w:t>
      </w:r>
      <w:r>
        <w:rPr>
          <w:rFonts w:hint="eastAsia" w:ascii="仿宋" w:hAnsi="仿宋" w:eastAsia="仿宋" w:cs="Times New Roman"/>
          <w:bCs/>
          <w:sz w:val="28"/>
          <w:szCs w:val="28"/>
        </w:rPr>
        <w:t>若受托职责终止的，委托人选任新的受托人后，应当与新的受托人及时妥善进行交接工作。在完成与新的受托人交接工作之前，应当继续履行受托人职责和义务。</w:t>
      </w:r>
    </w:p>
    <w:p w14:paraId="77B713F2">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1</w:t>
      </w:r>
      <w:r>
        <w:rPr>
          <w:rFonts w:ascii="仿宋" w:hAnsi="仿宋" w:eastAsia="仿宋" w:cs="Times New Roman"/>
          <w:bCs/>
          <w:sz w:val="28"/>
          <w:szCs w:val="28"/>
        </w:rPr>
        <w:t>3.</w:t>
      </w:r>
      <w:r>
        <w:rPr>
          <w:rFonts w:hint="eastAsia" w:ascii="仿宋" w:hAnsi="仿宋" w:eastAsia="仿宋" w:cs="Times New Roman"/>
          <w:bCs/>
          <w:sz w:val="28"/>
          <w:szCs w:val="28"/>
        </w:rPr>
        <w:t>受托人应完整保存与本合同有关的企业年金基金管理记录，包括各类纸质和电子文件，保存期限为在本合同终止后至少15年，并要求其他管理人完整保存相关资料。</w:t>
      </w:r>
    </w:p>
    <w:p w14:paraId="45851097">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1</w:t>
      </w:r>
      <w:r>
        <w:rPr>
          <w:rFonts w:ascii="仿宋" w:hAnsi="仿宋" w:eastAsia="仿宋" w:cs="Times New Roman"/>
          <w:bCs/>
          <w:sz w:val="28"/>
          <w:szCs w:val="28"/>
        </w:rPr>
        <w:t>4.</w:t>
      </w:r>
      <w:r>
        <w:rPr>
          <w:rFonts w:hint="eastAsia" w:ascii="仿宋" w:hAnsi="仿宋" w:eastAsia="仿宋" w:cs="Times New Roman"/>
          <w:bCs/>
          <w:sz w:val="28"/>
          <w:szCs w:val="28"/>
        </w:rPr>
        <w:t>除依照法律法规规定及双方合同约定取得报酬外，受托人不得利用企业年金基金财产谋取不正当利益。</w:t>
      </w:r>
    </w:p>
    <w:p w14:paraId="1CDA5D6E">
      <w:pPr>
        <w:pStyle w:val="4"/>
        <w:ind w:firstLine="560"/>
        <w:rPr>
          <w:rFonts w:ascii="仿宋" w:hAnsi="仿宋"/>
          <w:color w:val="auto"/>
          <w:szCs w:val="28"/>
        </w:rPr>
      </w:pPr>
      <w:r>
        <w:rPr>
          <w:rFonts w:hint="eastAsia" w:ascii="仿宋" w:hAnsi="仿宋"/>
          <w:color w:val="auto"/>
          <w:szCs w:val="28"/>
        </w:rPr>
        <w:t>（二）服务团队要求</w:t>
      </w:r>
    </w:p>
    <w:p w14:paraId="003F0002">
      <w:pPr>
        <w:spacing w:after="0" w:line="56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为本项目配置专业服务团队为我单位提供企业年金服务，服务方案需具有明确的服务标准和服务时效；并建立联动协作机制，及时响应并处理企业年金日常业务。</w:t>
      </w:r>
    </w:p>
    <w:p w14:paraId="0BF0054D">
      <w:pPr>
        <w:spacing w:after="0" w:line="56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注：服务团队人员服务期内不得私自更换，如需更换需经我单位书面确认同意。</w:t>
      </w:r>
    </w:p>
    <w:p w14:paraId="120813C6">
      <w:pPr>
        <w:pStyle w:val="4"/>
        <w:ind w:firstLine="560"/>
        <w:rPr>
          <w:rFonts w:ascii="仿宋" w:hAnsi="仿宋"/>
          <w:color w:val="auto"/>
          <w:szCs w:val="28"/>
        </w:rPr>
      </w:pPr>
      <w:r>
        <w:rPr>
          <w:rFonts w:hint="eastAsia" w:ascii="仿宋" w:hAnsi="仿宋"/>
          <w:color w:val="auto"/>
          <w:szCs w:val="28"/>
        </w:rPr>
        <w:t>（三）其他要求</w:t>
      </w:r>
    </w:p>
    <w:p w14:paraId="5AEB48A5">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1</w:t>
      </w:r>
      <w:r>
        <w:rPr>
          <w:rFonts w:ascii="仿宋" w:hAnsi="仿宋" w:eastAsia="仿宋" w:cs="Times New Roman"/>
          <w:bCs/>
          <w:sz w:val="28"/>
          <w:szCs w:val="28"/>
        </w:rPr>
        <w:t>.</w:t>
      </w:r>
      <w:r>
        <w:rPr>
          <w:rFonts w:hint="eastAsia" w:ascii="仿宋" w:hAnsi="仿宋" w:eastAsia="仿宋" w:cs="Times New Roman"/>
          <w:bCs/>
          <w:sz w:val="28"/>
          <w:szCs w:val="28"/>
        </w:rPr>
        <w:t>投诉反馈</w:t>
      </w:r>
    </w:p>
    <w:p w14:paraId="0F4EB59A">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 xml:space="preserve">设置专线投诉通道，1个工作日内完成投诉响应并反馈初步处理方案。 </w:t>
      </w:r>
    </w:p>
    <w:p w14:paraId="59999409">
      <w:pPr>
        <w:spacing w:after="0" w:line="560" w:lineRule="exact"/>
        <w:ind w:firstLine="560" w:firstLineChars="200"/>
        <w:contextualSpacing/>
        <w:rPr>
          <w:rFonts w:ascii="仿宋" w:hAnsi="仿宋" w:eastAsia="仿宋" w:cs="Times New Roman"/>
          <w:bCs/>
          <w:sz w:val="28"/>
          <w:szCs w:val="28"/>
        </w:rPr>
      </w:pPr>
      <w:r>
        <w:rPr>
          <w:rFonts w:hint="eastAsia" w:ascii="仿宋" w:hAnsi="仿宋" w:eastAsia="仿宋" w:cs="Times New Roman"/>
          <w:bCs/>
          <w:sz w:val="28"/>
          <w:szCs w:val="28"/>
        </w:rPr>
        <w:t>2</w:t>
      </w:r>
      <w:r>
        <w:rPr>
          <w:rFonts w:ascii="仿宋" w:hAnsi="仿宋" w:eastAsia="仿宋" w:cs="Times New Roman"/>
          <w:bCs/>
          <w:sz w:val="28"/>
          <w:szCs w:val="28"/>
        </w:rPr>
        <w:t>.</w:t>
      </w:r>
      <w:r>
        <w:rPr>
          <w:rFonts w:hint="eastAsia" w:ascii="仿宋" w:hAnsi="仿宋" w:eastAsia="仿宋" w:cs="Times New Roman"/>
          <w:bCs/>
          <w:sz w:val="28"/>
          <w:szCs w:val="28"/>
        </w:rPr>
        <w:t>廉政承诺</w:t>
      </w:r>
    </w:p>
    <w:p w14:paraId="6AFA011E">
      <w:pPr>
        <w:widowControl/>
        <w:ind w:firstLine="560" w:firstLineChars="200"/>
        <w:rPr>
          <w:rFonts w:ascii="宋体" w:hAnsi="宋体" w:eastAsia="仿宋"/>
          <w:b/>
          <w:bCs/>
          <w:color w:val="000000" w:themeColor="text1"/>
          <w:sz w:val="24"/>
          <w14:textFill>
            <w14:solidFill>
              <w14:schemeClr w14:val="tx1"/>
            </w14:solidFill>
          </w14:textFill>
        </w:rPr>
      </w:pPr>
      <w:r>
        <w:rPr>
          <w:rFonts w:hint="eastAsia" w:ascii="仿宋" w:hAnsi="仿宋" w:eastAsia="仿宋" w:cs="Times New Roman"/>
          <w:bCs/>
          <w:kern w:val="0"/>
          <w:sz w:val="28"/>
          <w:szCs w:val="28"/>
          <w14:ligatures w14:val="none"/>
        </w:rPr>
        <w:t>签署《廉政承诺书》，承诺不得向相关人员输送利益。</w:t>
      </w:r>
      <w:r>
        <w:rPr>
          <w:rFonts w:hint="eastAsia" w:ascii="宋体" w:hAnsi="宋体" w:eastAsia="仿宋"/>
          <w:b/>
          <w:bCs/>
          <w:color w:val="000000" w:themeColor="text1"/>
          <w:sz w:val="24"/>
          <w14:textFill>
            <w14:solidFill>
              <w14:schemeClr w14:val="tx1"/>
            </w14:solidFill>
          </w14:textFill>
        </w:rPr>
        <w:br w:type="page"/>
      </w:r>
    </w:p>
    <w:p w14:paraId="6CB86663">
      <w:pPr>
        <w:pStyle w:val="2"/>
      </w:pPr>
      <w:bookmarkStart w:id="97" w:name="_Toc204689929"/>
      <w:r>
        <w:rPr>
          <w:rFonts w:hint="eastAsia"/>
        </w:rPr>
        <w:t xml:space="preserve">第三章 </w:t>
      </w:r>
      <w:r>
        <w:t xml:space="preserve"> </w:t>
      </w:r>
      <w:r>
        <w:rPr>
          <w:rFonts w:hint="eastAsia"/>
        </w:rPr>
        <w:t>评标标准</w:t>
      </w:r>
      <w:bookmarkEnd w:id="97"/>
    </w:p>
    <w:p w14:paraId="23C2D12F">
      <w:pPr>
        <w:pStyle w:val="3"/>
        <w:ind w:firstLine="562"/>
      </w:pPr>
      <w:bookmarkStart w:id="98" w:name="_Toc204689930"/>
      <w:r>
        <w:rPr>
          <w:rFonts w:hint="eastAsia"/>
        </w:rPr>
        <w:t>一、 初步评审标准</w:t>
      </w:r>
      <w:bookmarkEnd w:id="98"/>
    </w:p>
    <w:p w14:paraId="46BBD8DE">
      <w:pPr>
        <w:pStyle w:val="4"/>
        <w:ind w:firstLine="560"/>
      </w:pPr>
      <w:bookmarkStart w:id="99" w:name="_Toc204689931"/>
      <w:r>
        <w:rPr>
          <w:rFonts w:hint="eastAsia"/>
        </w:rPr>
        <w:t>（一）资格审查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276"/>
        <w:gridCol w:w="4457"/>
      </w:tblGrid>
      <w:tr w14:paraId="091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6" w:type="pct"/>
            <w:vAlign w:val="center"/>
          </w:tcPr>
          <w:p w14:paraId="2F7BA9D2">
            <w:pPr>
              <w:wordWrap w:val="0"/>
              <w:snapToGrid w:val="0"/>
              <w:spacing w:line="3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序号</w:t>
            </w:r>
          </w:p>
        </w:tc>
        <w:tc>
          <w:tcPr>
            <w:tcW w:w="1921" w:type="pct"/>
            <w:vAlign w:val="center"/>
          </w:tcPr>
          <w:p w14:paraId="362EA9B8">
            <w:pPr>
              <w:wordWrap w:val="0"/>
              <w:snapToGrid w:val="0"/>
              <w:spacing w:line="3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审查因素</w:t>
            </w:r>
          </w:p>
        </w:tc>
        <w:tc>
          <w:tcPr>
            <w:tcW w:w="2613" w:type="pct"/>
            <w:vAlign w:val="center"/>
          </w:tcPr>
          <w:p w14:paraId="3731B5CF">
            <w:pPr>
              <w:wordWrap w:val="0"/>
              <w:snapToGrid w:val="0"/>
              <w:spacing w:line="3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审查内容</w:t>
            </w:r>
          </w:p>
        </w:tc>
      </w:tr>
      <w:tr w14:paraId="4BD0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Align w:val="center"/>
          </w:tcPr>
          <w:p w14:paraId="11FF82F4">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w:t>
            </w:r>
          </w:p>
        </w:tc>
        <w:tc>
          <w:tcPr>
            <w:tcW w:w="1921" w:type="pct"/>
            <w:vAlign w:val="center"/>
          </w:tcPr>
          <w:p w14:paraId="124F8098">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具有独立承担民事责任能力的</w:t>
            </w:r>
          </w:p>
        </w:tc>
        <w:tc>
          <w:tcPr>
            <w:tcW w:w="2613" w:type="pct"/>
            <w:vAlign w:val="center"/>
          </w:tcPr>
          <w:p w14:paraId="0F04F24E">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投标人是否提供了有效的营业执照或事业单位法人证书或执业许可证。</w:t>
            </w:r>
          </w:p>
        </w:tc>
      </w:tr>
      <w:tr w14:paraId="5751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Align w:val="center"/>
          </w:tcPr>
          <w:p w14:paraId="13D278E1">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2</w:t>
            </w:r>
          </w:p>
        </w:tc>
        <w:tc>
          <w:tcPr>
            <w:tcW w:w="1921" w:type="pct"/>
            <w:vAlign w:val="center"/>
          </w:tcPr>
          <w:p w14:paraId="0C741A5F">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具有良好的商业信誉和健全的财务会计制度的</w:t>
            </w:r>
          </w:p>
        </w:tc>
        <w:tc>
          <w:tcPr>
            <w:tcW w:w="2613" w:type="pct"/>
            <w:vAlign w:val="center"/>
          </w:tcPr>
          <w:p w14:paraId="5D245EB0">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投标人是否提供了2024年度经会计师事务所审计的完整的财务审计报告或具有良好的商业信誉和健全的财务会计制度的承诺书（格式自拟）。</w:t>
            </w:r>
          </w:p>
        </w:tc>
      </w:tr>
      <w:tr w14:paraId="3562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Align w:val="center"/>
          </w:tcPr>
          <w:p w14:paraId="6C661254">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3</w:t>
            </w:r>
          </w:p>
        </w:tc>
        <w:tc>
          <w:tcPr>
            <w:tcW w:w="1921" w:type="pct"/>
            <w:vAlign w:val="center"/>
          </w:tcPr>
          <w:p w14:paraId="22DA049F">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具有履行合同所必需的设备和专业技术能力的</w:t>
            </w:r>
          </w:p>
        </w:tc>
        <w:tc>
          <w:tcPr>
            <w:tcW w:w="2613" w:type="pct"/>
            <w:vAlign w:val="center"/>
          </w:tcPr>
          <w:p w14:paraId="20F01504">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投标人是否提供了具有履行合同所必需的设备和专业技术能力的承诺书（格式自拟）。</w:t>
            </w:r>
          </w:p>
        </w:tc>
      </w:tr>
      <w:tr w14:paraId="21E8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Align w:val="center"/>
          </w:tcPr>
          <w:p w14:paraId="30DE2328">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4</w:t>
            </w:r>
          </w:p>
        </w:tc>
        <w:tc>
          <w:tcPr>
            <w:tcW w:w="1921" w:type="pct"/>
            <w:vAlign w:val="center"/>
          </w:tcPr>
          <w:p w14:paraId="54F7918B">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有依法缴纳税收和社会保障资金良好记录的</w:t>
            </w:r>
          </w:p>
        </w:tc>
        <w:tc>
          <w:tcPr>
            <w:tcW w:w="2613" w:type="pct"/>
            <w:vAlign w:val="center"/>
          </w:tcPr>
          <w:p w14:paraId="38975D6F">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投标人是否提供了202</w:t>
            </w:r>
            <w:r>
              <w:rPr>
                <w:rFonts w:ascii="仿宋" w:hAnsi="仿宋" w:eastAsia="仿宋"/>
                <w:bCs/>
                <w:color w:val="000000" w:themeColor="text1"/>
                <w:sz w:val="24"/>
                <w14:textFill>
                  <w14:solidFill>
                    <w14:schemeClr w14:val="tx1"/>
                  </w14:solidFill>
                </w14:textFill>
              </w:rPr>
              <w:t>5</w:t>
            </w:r>
            <w:r>
              <w:rPr>
                <w:rFonts w:hint="eastAsia" w:ascii="仿宋" w:hAnsi="仿宋" w:eastAsia="仿宋"/>
                <w:bCs/>
                <w:color w:val="000000" w:themeColor="text1"/>
                <w:sz w:val="24"/>
                <w14:textFill>
                  <w14:solidFill>
                    <w14:schemeClr w14:val="tx1"/>
                  </w14:solidFill>
                </w14:textFill>
              </w:rPr>
              <w:t>年以来任意一个月缴纳社保和纳税的凭证或依法缴纳税收和社会保障资金的承诺书（格式自拟）。</w:t>
            </w:r>
          </w:p>
        </w:tc>
      </w:tr>
      <w:tr w14:paraId="3E31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Align w:val="center"/>
          </w:tcPr>
          <w:p w14:paraId="65F75655">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5</w:t>
            </w:r>
          </w:p>
        </w:tc>
        <w:tc>
          <w:tcPr>
            <w:tcW w:w="1921" w:type="pct"/>
            <w:vAlign w:val="center"/>
          </w:tcPr>
          <w:p w14:paraId="5CB7F9F5">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参加采购活动前三年内，在经营活动中没有重大违法记录的</w:t>
            </w:r>
          </w:p>
        </w:tc>
        <w:tc>
          <w:tcPr>
            <w:tcW w:w="2613" w:type="pct"/>
            <w:vAlign w:val="center"/>
          </w:tcPr>
          <w:p w14:paraId="18FD083E">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投标人是否提供了参加本次采购活动前三年内在经营活动中没有重大违法记录的书面声明。</w:t>
            </w:r>
          </w:p>
        </w:tc>
      </w:tr>
      <w:tr w14:paraId="2D7D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Align w:val="center"/>
          </w:tcPr>
          <w:p w14:paraId="1EC3D7F9">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6</w:t>
            </w:r>
          </w:p>
        </w:tc>
        <w:tc>
          <w:tcPr>
            <w:tcW w:w="1921" w:type="pct"/>
            <w:vAlign w:val="center"/>
          </w:tcPr>
          <w:p w14:paraId="5A411F4E">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未被列入中国政府采购网（www.ccgp.gov.cn）“政府采购严重违法失信行为记录名单”、信用中国网（www.creditchina.gov.cn）“失信被执行人”“重大税收违法案件当事人名单（重大税收违法失信主体）”“政府采购严重违法失信行为记录名单”的</w:t>
            </w:r>
          </w:p>
        </w:tc>
        <w:tc>
          <w:tcPr>
            <w:tcW w:w="2613" w:type="pct"/>
            <w:vAlign w:val="center"/>
          </w:tcPr>
          <w:p w14:paraId="0F5AE7DA">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w:t>
            </w:r>
            <w:r>
              <w:rPr>
                <w:rFonts w:ascii="仿宋" w:hAnsi="仿宋" w:eastAsia="仿宋"/>
                <w:bCs/>
                <w:color w:val="000000" w:themeColor="text1"/>
                <w:sz w:val="24"/>
                <w14:textFill>
                  <w14:solidFill>
                    <w14:schemeClr w14:val="tx1"/>
                  </w14:solidFill>
                </w14:textFill>
              </w:rPr>
              <w:t>是否未被列入中国政府采购网（www.ccgp.gov.cn）“政府采购严重违法失信行为记录名单”、信用中国网（www.creditchina.gov.cn） “失信被执行人”“重大税收违法失信主体”“政府采购严重违法失信行为记录名单”</w:t>
            </w:r>
            <w:r>
              <w:rPr>
                <w:rFonts w:hint="eastAsia" w:ascii="仿宋" w:hAnsi="仿宋" w:eastAsia="仿宋"/>
                <w:bCs/>
                <w:color w:val="000000" w:themeColor="text1"/>
                <w:sz w:val="24"/>
                <w14:textFill>
                  <w14:solidFill>
                    <w14:schemeClr w14:val="tx1"/>
                  </w14:solidFill>
                </w14:textFill>
              </w:rPr>
              <w:t>。</w:t>
            </w:r>
          </w:p>
        </w:tc>
      </w:tr>
      <w:tr w14:paraId="52E3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466" w:type="pct"/>
            <w:vAlign w:val="center"/>
          </w:tcPr>
          <w:p w14:paraId="3D181F48">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7</w:t>
            </w:r>
          </w:p>
        </w:tc>
        <w:tc>
          <w:tcPr>
            <w:tcW w:w="1921" w:type="pct"/>
            <w:vAlign w:val="center"/>
          </w:tcPr>
          <w:p w14:paraId="6174EDAA">
            <w:pPr>
              <w:spacing w:after="0" w:line="240" w:lineRule="auto"/>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具备企业年金法人受托管理资质</w:t>
            </w:r>
          </w:p>
        </w:tc>
        <w:tc>
          <w:tcPr>
            <w:tcW w:w="2613" w:type="pct"/>
            <w:vAlign w:val="center"/>
          </w:tcPr>
          <w:p w14:paraId="5DCE6ACC">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投标人是否提供了由中华人民共和国人力资源和社会保障部颁发的企业年金基金管理机构资格证书（资格类型：法人受托机构）</w:t>
            </w:r>
          </w:p>
        </w:tc>
      </w:tr>
      <w:tr w14:paraId="5AC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466" w:type="pct"/>
            <w:vAlign w:val="center"/>
          </w:tcPr>
          <w:p w14:paraId="0FA1D8A1">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8</w:t>
            </w:r>
          </w:p>
        </w:tc>
        <w:tc>
          <w:tcPr>
            <w:tcW w:w="1921" w:type="pct"/>
            <w:vAlign w:val="center"/>
          </w:tcPr>
          <w:p w14:paraId="5C1855C0">
            <w:pPr>
              <w:spacing w:after="0" w:line="240" w:lineRule="auto"/>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具有符合要求的营业场所、安全防范设施和与企业年金基金受托管理业务有关的其他设施的</w:t>
            </w:r>
          </w:p>
        </w:tc>
        <w:tc>
          <w:tcPr>
            <w:tcW w:w="2613" w:type="pct"/>
            <w:vAlign w:val="center"/>
          </w:tcPr>
          <w:p w14:paraId="2C9E94E5">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投标人是否提供了具有符合要求的营业场所、安全防范设施和与企业年金基金受托管理业务有关的其他设施的证明。</w:t>
            </w:r>
          </w:p>
        </w:tc>
      </w:tr>
      <w:tr w14:paraId="5CB7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6" w:type="pct"/>
            <w:vAlign w:val="center"/>
          </w:tcPr>
          <w:p w14:paraId="036A16CE">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9</w:t>
            </w:r>
          </w:p>
        </w:tc>
        <w:tc>
          <w:tcPr>
            <w:tcW w:w="1921" w:type="pct"/>
            <w:vAlign w:val="center"/>
          </w:tcPr>
          <w:p w14:paraId="5E1C07F9">
            <w:pPr>
              <w:spacing w:after="0" w:line="240" w:lineRule="auto"/>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取得企业年金基金从业资格的专职人员达到规定人数的</w:t>
            </w:r>
          </w:p>
        </w:tc>
        <w:tc>
          <w:tcPr>
            <w:tcW w:w="2613" w:type="pct"/>
            <w:vAlign w:val="center"/>
          </w:tcPr>
          <w:p w14:paraId="3D32B0DA">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投标人是否提供了证明符合规定的基金从业资格人员证明。</w:t>
            </w:r>
          </w:p>
        </w:tc>
      </w:tr>
      <w:tr w14:paraId="7AA8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6" w:type="pct"/>
            <w:vAlign w:val="center"/>
          </w:tcPr>
          <w:p w14:paraId="020F4E9B">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w:t>
            </w:r>
            <w:r>
              <w:rPr>
                <w:rFonts w:ascii="仿宋" w:hAnsi="仿宋" w:eastAsia="仿宋"/>
                <w:bCs/>
                <w:color w:val="000000" w:themeColor="text1"/>
                <w:sz w:val="24"/>
                <w14:textFill>
                  <w14:solidFill>
                    <w14:schemeClr w14:val="tx1"/>
                  </w14:solidFill>
                </w14:textFill>
              </w:rPr>
              <w:t>0</w:t>
            </w:r>
          </w:p>
        </w:tc>
        <w:tc>
          <w:tcPr>
            <w:tcW w:w="1921" w:type="pct"/>
            <w:vAlign w:val="center"/>
          </w:tcPr>
          <w:p w14:paraId="67B8966F">
            <w:pPr>
              <w:spacing w:after="0" w:line="240" w:lineRule="auto"/>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具有完善的法人治理结构、内部稽核监控制度和风险控制制度的</w:t>
            </w:r>
          </w:p>
        </w:tc>
        <w:tc>
          <w:tcPr>
            <w:tcW w:w="2613" w:type="pct"/>
            <w:vAlign w:val="center"/>
          </w:tcPr>
          <w:p w14:paraId="2F701A29">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投标人是否提供了法人治理结构、内部稽核监控制度和风险控制制度的证明材料。</w:t>
            </w:r>
          </w:p>
        </w:tc>
      </w:tr>
    </w:tbl>
    <w:p w14:paraId="2739992A">
      <w:pPr>
        <w:pStyle w:val="16"/>
        <w:ind w:left="1260"/>
        <w:rPr>
          <w:rFonts w:ascii="宋体" w:hAnsi="宋体" w:eastAsia="仿宋"/>
          <w:b/>
          <w:bCs/>
          <w:color w:val="000000" w:themeColor="text1"/>
          <w:sz w:val="24"/>
          <w14:textFill>
            <w14:solidFill>
              <w14:schemeClr w14:val="tx1"/>
            </w14:solidFill>
          </w14:textFill>
        </w:rPr>
      </w:pPr>
    </w:p>
    <w:p w14:paraId="67B5B500">
      <w:pPr>
        <w:pStyle w:val="4"/>
        <w:ind w:firstLine="560"/>
      </w:pPr>
      <w:r>
        <w:rPr>
          <w:rFonts w:hint="eastAsia"/>
        </w:rPr>
        <w:t>（二）符合性审查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276"/>
        <w:gridCol w:w="4457"/>
      </w:tblGrid>
      <w:tr w14:paraId="4E78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6" w:type="pct"/>
            <w:vAlign w:val="center"/>
          </w:tcPr>
          <w:p w14:paraId="40EDAB8C">
            <w:pPr>
              <w:wordWrap w:val="0"/>
              <w:snapToGrid w:val="0"/>
              <w:spacing w:line="3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序号</w:t>
            </w:r>
          </w:p>
        </w:tc>
        <w:tc>
          <w:tcPr>
            <w:tcW w:w="1921" w:type="pct"/>
            <w:vAlign w:val="center"/>
          </w:tcPr>
          <w:p w14:paraId="78DAFEEF">
            <w:pPr>
              <w:wordWrap w:val="0"/>
              <w:snapToGrid w:val="0"/>
              <w:spacing w:line="3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审查因素</w:t>
            </w:r>
          </w:p>
        </w:tc>
        <w:tc>
          <w:tcPr>
            <w:tcW w:w="2613" w:type="pct"/>
            <w:vAlign w:val="center"/>
          </w:tcPr>
          <w:p w14:paraId="0473184E">
            <w:pPr>
              <w:wordWrap w:val="0"/>
              <w:snapToGrid w:val="0"/>
              <w:spacing w:line="36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审查内容</w:t>
            </w:r>
          </w:p>
        </w:tc>
      </w:tr>
      <w:tr w14:paraId="3D60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Align w:val="center"/>
          </w:tcPr>
          <w:p w14:paraId="7017D482">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1</w:t>
            </w:r>
          </w:p>
        </w:tc>
        <w:tc>
          <w:tcPr>
            <w:tcW w:w="1921" w:type="pct"/>
            <w:vAlign w:val="center"/>
          </w:tcPr>
          <w:p w14:paraId="5D407A2F">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投标文件的装订</w:t>
            </w:r>
          </w:p>
        </w:tc>
        <w:tc>
          <w:tcPr>
            <w:tcW w:w="2613" w:type="pct"/>
            <w:vAlign w:val="center"/>
          </w:tcPr>
          <w:p w14:paraId="0D9C39C4">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投标文件是否按招标文件要求装订（无松散、掉页、脱落）</w:t>
            </w:r>
          </w:p>
        </w:tc>
      </w:tr>
      <w:tr w14:paraId="2B88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Align w:val="center"/>
          </w:tcPr>
          <w:p w14:paraId="43102472">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2</w:t>
            </w:r>
          </w:p>
        </w:tc>
        <w:tc>
          <w:tcPr>
            <w:tcW w:w="1921" w:type="pct"/>
            <w:vAlign w:val="center"/>
          </w:tcPr>
          <w:p w14:paraId="5D5305E0">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投标文件的签署、盖章</w:t>
            </w:r>
          </w:p>
        </w:tc>
        <w:tc>
          <w:tcPr>
            <w:tcW w:w="2613" w:type="pct"/>
            <w:vAlign w:val="center"/>
          </w:tcPr>
          <w:p w14:paraId="551541C2">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投标文件是否按招标文件要求签署、盖章</w:t>
            </w:r>
          </w:p>
        </w:tc>
      </w:tr>
      <w:tr w14:paraId="0C2E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66" w:type="pct"/>
            <w:vAlign w:val="center"/>
          </w:tcPr>
          <w:p w14:paraId="31590AF8">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3</w:t>
            </w:r>
          </w:p>
        </w:tc>
        <w:tc>
          <w:tcPr>
            <w:tcW w:w="1921" w:type="pct"/>
            <w:vAlign w:val="center"/>
          </w:tcPr>
          <w:p w14:paraId="40068FAE">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投标报价</w:t>
            </w:r>
          </w:p>
        </w:tc>
        <w:tc>
          <w:tcPr>
            <w:tcW w:w="2613" w:type="pct"/>
            <w:vAlign w:val="center"/>
          </w:tcPr>
          <w:p w14:paraId="56C2D9E8">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投标报价是否满足招标文件要求</w:t>
            </w:r>
          </w:p>
        </w:tc>
      </w:tr>
      <w:tr w14:paraId="3169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66" w:type="pct"/>
            <w:vAlign w:val="center"/>
          </w:tcPr>
          <w:p w14:paraId="6C65250B">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4</w:t>
            </w:r>
          </w:p>
        </w:tc>
        <w:tc>
          <w:tcPr>
            <w:tcW w:w="1921" w:type="pct"/>
            <w:vAlign w:val="center"/>
          </w:tcPr>
          <w:p w14:paraId="7F4B1339">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服务期</w:t>
            </w:r>
          </w:p>
        </w:tc>
        <w:tc>
          <w:tcPr>
            <w:tcW w:w="2613" w:type="pct"/>
            <w:vAlign w:val="center"/>
          </w:tcPr>
          <w:p w14:paraId="7E2D7833">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服务期是否满足招标文件要求</w:t>
            </w:r>
          </w:p>
        </w:tc>
      </w:tr>
      <w:tr w14:paraId="6DEE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6" w:type="pct"/>
            <w:vAlign w:val="center"/>
          </w:tcPr>
          <w:p w14:paraId="2D90A094">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5</w:t>
            </w:r>
          </w:p>
        </w:tc>
        <w:tc>
          <w:tcPr>
            <w:tcW w:w="1921" w:type="pct"/>
            <w:vAlign w:val="center"/>
          </w:tcPr>
          <w:p w14:paraId="206D17F2">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投标有效期</w:t>
            </w:r>
          </w:p>
        </w:tc>
        <w:tc>
          <w:tcPr>
            <w:tcW w:w="2613" w:type="pct"/>
            <w:vAlign w:val="center"/>
          </w:tcPr>
          <w:p w14:paraId="143C7203">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投标有效期是否满足招标文件要求</w:t>
            </w:r>
          </w:p>
        </w:tc>
      </w:tr>
      <w:tr w14:paraId="1089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66" w:type="pct"/>
            <w:vAlign w:val="center"/>
          </w:tcPr>
          <w:p w14:paraId="76B39F3F">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6</w:t>
            </w:r>
          </w:p>
        </w:tc>
        <w:tc>
          <w:tcPr>
            <w:tcW w:w="1921" w:type="pct"/>
            <w:vAlign w:val="center"/>
          </w:tcPr>
          <w:p w14:paraId="63F12D32">
            <w:pPr>
              <w:wordWrap w:val="0"/>
              <w:snapToGrid w:val="0"/>
              <w:spacing w:line="360" w:lineRule="exact"/>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实质性要求</w:t>
            </w:r>
          </w:p>
        </w:tc>
        <w:tc>
          <w:tcPr>
            <w:tcW w:w="2613" w:type="pct"/>
            <w:vAlign w:val="center"/>
          </w:tcPr>
          <w:p w14:paraId="365FB400">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投标文件</w:t>
            </w:r>
            <w:r>
              <w:rPr>
                <w:rFonts w:ascii="仿宋" w:hAnsi="仿宋" w:eastAsia="仿宋"/>
                <w:bCs/>
                <w:color w:val="000000" w:themeColor="text1"/>
                <w:sz w:val="24"/>
                <w14:textFill>
                  <w14:solidFill>
                    <w14:schemeClr w14:val="tx1"/>
                  </w14:solidFill>
                </w14:textFill>
              </w:rPr>
              <w:t>是否满足</w:t>
            </w:r>
            <w:r>
              <w:rPr>
                <w:rFonts w:hint="eastAsia" w:ascii="仿宋" w:hAnsi="仿宋" w:eastAsia="仿宋"/>
                <w:bCs/>
                <w:color w:val="000000" w:themeColor="text1"/>
                <w:sz w:val="24"/>
                <w14:textFill>
                  <w14:solidFill>
                    <w14:schemeClr w14:val="tx1"/>
                  </w14:solidFill>
                </w14:textFill>
              </w:rPr>
              <w:t>招标文件</w:t>
            </w:r>
            <w:r>
              <w:rPr>
                <w:rFonts w:ascii="仿宋" w:hAnsi="仿宋" w:eastAsia="仿宋"/>
                <w:bCs/>
                <w:color w:val="000000" w:themeColor="text1"/>
                <w:sz w:val="24"/>
                <w14:textFill>
                  <w14:solidFill>
                    <w14:schemeClr w14:val="tx1"/>
                  </w14:solidFill>
                </w14:textFill>
              </w:rPr>
              <w:t>实质性要求</w:t>
            </w:r>
          </w:p>
        </w:tc>
      </w:tr>
      <w:tr w14:paraId="5998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66" w:type="pct"/>
            <w:vAlign w:val="center"/>
          </w:tcPr>
          <w:p w14:paraId="7C63CF48">
            <w:pPr>
              <w:wordWrap w:val="0"/>
              <w:snapToGrid w:val="0"/>
              <w:spacing w:line="360" w:lineRule="exact"/>
              <w:jc w:val="center"/>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7</w:t>
            </w:r>
          </w:p>
        </w:tc>
        <w:tc>
          <w:tcPr>
            <w:tcW w:w="1921" w:type="pct"/>
            <w:vAlign w:val="center"/>
          </w:tcPr>
          <w:p w14:paraId="1C1400BC">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法律法规或者投标文件规定的其他无效投标的情形</w:t>
            </w:r>
          </w:p>
        </w:tc>
        <w:tc>
          <w:tcPr>
            <w:tcW w:w="2613" w:type="pct"/>
            <w:vAlign w:val="center"/>
          </w:tcPr>
          <w:p w14:paraId="466CDE46">
            <w:pPr>
              <w:wordWrap w:val="0"/>
              <w:snapToGrid w:val="0"/>
              <w:spacing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投标文件是否存在法律法规或者招标文件规定的其他无效投标的情形</w:t>
            </w:r>
          </w:p>
        </w:tc>
      </w:tr>
    </w:tbl>
    <w:p w14:paraId="5BD4B313">
      <w:pPr>
        <w:pStyle w:val="3"/>
        <w:ind w:firstLine="562"/>
      </w:pPr>
      <w:r>
        <w:rPr>
          <w:rFonts w:hint="eastAsia"/>
        </w:rPr>
        <w:t>二、 分值构成与评分标准</w:t>
      </w:r>
      <w:bookmarkEnd w:id="99"/>
    </w:p>
    <w:p w14:paraId="0061C6AC">
      <w:pPr>
        <w:pStyle w:val="4"/>
        <w:ind w:firstLine="560"/>
      </w:pPr>
      <w:bookmarkStart w:id="100" w:name="_Toc204689932"/>
      <w:r>
        <w:rPr>
          <w:rFonts w:hint="eastAsia"/>
        </w:rPr>
        <w:t>（一）分值构成</w:t>
      </w:r>
      <w:bookmarkEnd w:id="100"/>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5603"/>
      </w:tblGrid>
      <w:tr w14:paraId="49CD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715" w:type="pct"/>
            <w:vAlign w:val="center"/>
          </w:tcPr>
          <w:p w14:paraId="32F49309">
            <w:pPr>
              <w:pStyle w:val="16"/>
              <w:spacing w:after="0" w:line="240" w:lineRule="auto"/>
              <w:ind w:lef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条款内容</w:t>
            </w:r>
          </w:p>
        </w:tc>
        <w:tc>
          <w:tcPr>
            <w:tcW w:w="3285" w:type="pct"/>
            <w:vAlign w:val="center"/>
          </w:tcPr>
          <w:p w14:paraId="6BB9966F">
            <w:pPr>
              <w:pStyle w:val="16"/>
              <w:spacing w:after="0" w:line="240" w:lineRule="auto"/>
              <w:ind w:lef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编列内容</w:t>
            </w:r>
          </w:p>
        </w:tc>
      </w:tr>
      <w:tr w14:paraId="681D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pct"/>
            <w:vMerge w:val="restart"/>
            <w:vAlign w:val="center"/>
          </w:tcPr>
          <w:p w14:paraId="5CBEF44A">
            <w:pPr>
              <w:pStyle w:val="16"/>
              <w:spacing w:after="0" w:line="240" w:lineRule="auto"/>
              <w:ind w:left="0" w:firstLine="240" w:firstLineChars="10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分值构成</w:t>
            </w:r>
          </w:p>
          <w:p w14:paraId="24AEA416">
            <w:pPr>
              <w:pStyle w:val="16"/>
              <w:spacing w:after="0" w:line="240" w:lineRule="auto"/>
              <w:ind w:lef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（满分100分）</w:t>
            </w:r>
          </w:p>
        </w:tc>
        <w:tc>
          <w:tcPr>
            <w:tcW w:w="3285" w:type="pct"/>
          </w:tcPr>
          <w:p w14:paraId="5AD9945E">
            <w:pPr>
              <w:pStyle w:val="16"/>
              <w:spacing w:after="0" w:line="240" w:lineRule="auto"/>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评标总得分=投标报价+商务部分+技术部分</w:t>
            </w:r>
          </w:p>
        </w:tc>
      </w:tr>
      <w:tr w14:paraId="5537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pct"/>
            <w:vMerge w:val="continue"/>
            <w:tcBorders>
              <w:bottom w:val="single" w:color="auto" w:sz="4" w:space="0"/>
            </w:tcBorders>
          </w:tcPr>
          <w:p w14:paraId="565DE4C8">
            <w:pPr>
              <w:pStyle w:val="16"/>
              <w:spacing w:after="0" w:line="240" w:lineRule="auto"/>
              <w:ind w:left="0"/>
              <w:rPr>
                <w:rFonts w:ascii="仿宋" w:hAnsi="仿宋" w:eastAsia="仿宋"/>
                <w:bCs/>
                <w:color w:val="000000" w:themeColor="text1"/>
                <w:sz w:val="24"/>
                <w14:textFill>
                  <w14:solidFill>
                    <w14:schemeClr w14:val="tx1"/>
                  </w14:solidFill>
                </w14:textFill>
              </w:rPr>
            </w:pPr>
          </w:p>
        </w:tc>
        <w:tc>
          <w:tcPr>
            <w:tcW w:w="3285" w:type="pct"/>
            <w:tcBorders>
              <w:bottom w:val="single" w:color="auto" w:sz="4" w:space="0"/>
            </w:tcBorders>
          </w:tcPr>
          <w:p w14:paraId="2977CF47">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评标报价：</w:t>
            </w:r>
            <w:r>
              <w:rPr>
                <w:rFonts w:ascii="仿宋" w:hAnsi="仿宋" w:eastAsia="仿宋"/>
                <w:bCs/>
                <w:color w:val="000000" w:themeColor="text1"/>
                <w:sz w:val="24"/>
                <w14:textFill>
                  <w14:solidFill>
                    <w14:schemeClr w14:val="tx1"/>
                  </w14:solidFill>
                </w14:textFill>
              </w:rPr>
              <w:t>15分</w:t>
            </w:r>
          </w:p>
          <w:p w14:paraId="745796B4">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商务部分：</w:t>
            </w:r>
            <w:r>
              <w:rPr>
                <w:rFonts w:ascii="仿宋" w:hAnsi="仿宋" w:eastAsia="仿宋"/>
                <w:bCs/>
                <w:color w:val="000000" w:themeColor="text1"/>
                <w:sz w:val="24"/>
                <w14:textFill>
                  <w14:solidFill>
                    <w14:schemeClr w14:val="tx1"/>
                  </w14:solidFill>
                </w14:textFill>
              </w:rPr>
              <w:t>35分</w:t>
            </w:r>
          </w:p>
          <w:p w14:paraId="5970BE0D">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技术部分：</w:t>
            </w:r>
            <w:r>
              <w:rPr>
                <w:rFonts w:ascii="仿宋" w:hAnsi="仿宋" w:eastAsia="仿宋"/>
                <w:bCs/>
                <w:color w:val="000000" w:themeColor="text1"/>
                <w:sz w:val="24"/>
                <w14:textFill>
                  <w14:solidFill>
                    <w14:schemeClr w14:val="tx1"/>
                  </w14:solidFill>
                </w14:textFill>
              </w:rPr>
              <w:t>50分</w:t>
            </w:r>
          </w:p>
        </w:tc>
      </w:tr>
      <w:tr w14:paraId="1701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pct"/>
          </w:tcPr>
          <w:p w14:paraId="594DD337">
            <w:pPr>
              <w:pStyle w:val="16"/>
              <w:spacing w:after="0" w:line="240" w:lineRule="auto"/>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评标基准价计算方法</w:t>
            </w:r>
          </w:p>
        </w:tc>
        <w:tc>
          <w:tcPr>
            <w:tcW w:w="3285" w:type="pct"/>
          </w:tcPr>
          <w:p w14:paraId="19ACD8AC">
            <w:pPr>
              <w:pStyle w:val="16"/>
              <w:spacing w:after="0" w:line="360" w:lineRule="exact"/>
              <w:ind w:left="0"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满足招标文件要求且投标价格最低的投标报价评作为评标基准价。</w:t>
            </w:r>
          </w:p>
        </w:tc>
      </w:tr>
    </w:tbl>
    <w:p w14:paraId="1CEA1E0A">
      <w:pPr>
        <w:pStyle w:val="4"/>
        <w:ind w:firstLine="560"/>
      </w:pPr>
      <w:bookmarkStart w:id="101" w:name="_Toc204689933"/>
      <w:r>
        <w:rPr>
          <w:rFonts w:hint="eastAsia"/>
        </w:rPr>
        <w:t>（二）评分标准</w:t>
      </w:r>
      <w:bookmarkEnd w:id="101"/>
    </w:p>
    <w:p w14:paraId="69480312">
      <w:pPr>
        <w:pStyle w:val="5"/>
        <w:ind w:firstLine="560"/>
      </w:pPr>
      <w:r>
        <w:rPr>
          <w:rFonts w:hint="eastAsia"/>
        </w:rPr>
        <w:t>1</w:t>
      </w:r>
      <w:r>
        <w:t>.</w:t>
      </w:r>
      <w:bookmarkStart w:id="102" w:name="OLE_LINK105"/>
      <w:bookmarkStart w:id="103" w:name="OLE_LINK106"/>
      <w:r>
        <w:rPr>
          <w:rFonts w:hint="eastAsia"/>
        </w:rPr>
        <w:t>投标报价</w:t>
      </w:r>
      <w:bookmarkEnd w:id="102"/>
      <w:bookmarkEnd w:id="103"/>
      <w:r>
        <w:rPr>
          <w:rFonts w:hint="eastAsia"/>
        </w:rPr>
        <w:t>：1</w:t>
      </w:r>
      <w:r>
        <w:t>5</w:t>
      </w:r>
      <w:r>
        <w:rPr>
          <w:rFonts w:hint="eastAsia"/>
        </w:rPr>
        <w:t>分</w:t>
      </w:r>
    </w:p>
    <w:tbl>
      <w:tblPr>
        <w:tblStyle w:val="13"/>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5600"/>
      </w:tblGrid>
      <w:tr w14:paraId="1174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9" w:type="pct"/>
          </w:tcPr>
          <w:p w14:paraId="77B62FE5">
            <w:pPr>
              <w:pStyle w:val="16"/>
              <w:spacing w:after="0" w:line="360" w:lineRule="exact"/>
              <w:ind w:lef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评分因素</w:t>
            </w:r>
          </w:p>
        </w:tc>
        <w:tc>
          <w:tcPr>
            <w:tcW w:w="3291" w:type="pct"/>
          </w:tcPr>
          <w:p w14:paraId="23586705">
            <w:pPr>
              <w:pStyle w:val="16"/>
              <w:spacing w:after="0" w:line="360" w:lineRule="exact"/>
              <w:ind w:lef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评分标准</w:t>
            </w:r>
          </w:p>
        </w:tc>
      </w:tr>
      <w:tr w14:paraId="3198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9" w:type="pct"/>
          </w:tcPr>
          <w:p w14:paraId="4C5B2B17">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投标报价得分计算公式</w:t>
            </w:r>
          </w:p>
        </w:tc>
        <w:tc>
          <w:tcPr>
            <w:tcW w:w="3291" w:type="pct"/>
          </w:tcPr>
          <w:p w14:paraId="6090E473">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投标报价得分=主要部分报价+其他部分报价</w:t>
            </w:r>
          </w:p>
        </w:tc>
      </w:tr>
      <w:tr w14:paraId="7A22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Pr>
          <w:p w14:paraId="54CDE6F9">
            <w:pPr>
              <w:pStyle w:val="16"/>
              <w:spacing w:after="0" w:line="360" w:lineRule="exact"/>
              <w:ind w:left="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主要部分</w:t>
            </w:r>
          </w:p>
        </w:tc>
      </w:tr>
      <w:tr w14:paraId="34A6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9" w:type="pct"/>
          </w:tcPr>
          <w:p w14:paraId="1FF9B950">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受托管理费（5分）</w:t>
            </w:r>
          </w:p>
        </w:tc>
        <w:tc>
          <w:tcPr>
            <w:tcW w:w="3291" w:type="pct"/>
          </w:tcPr>
          <w:p w14:paraId="242B8552">
            <w:pPr>
              <w:pStyle w:val="16"/>
              <w:spacing w:after="0" w:line="360" w:lineRule="exact"/>
              <w:ind w:left="0"/>
              <w:rPr>
                <w:rFonts w:ascii="仿宋" w:hAnsi="仿宋" w:eastAsia="仿宋"/>
                <w:bCs/>
                <w:color w:val="000000" w:themeColor="text1"/>
                <w:sz w:val="24"/>
                <w14:textFill>
                  <w14:solidFill>
                    <w14:schemeClr w14:val="tx1"/>
                  </w14:solidFill>
                </w14:textFill>
              </w:rPr>
            </w:pPr>
            <w:bookmarkStart w:id="104" w:name="OLE_LINK109"/>
            <w:r>
              <w:rPr>
                <w:rFonts w:hint="eastAsia" w:ascii="仿宋" w:hAnsi="仿宋" w:eastAsia="仿宋"/>
                <w:bCs/>
                <w:color w:val="000000" w:themeColor="text1"/>
                <w:sz w:val="24"/>
                <w14:textFill>
                  <w14:solidFill>
                    <w14:schemeClr w14:val="tx1"/>
                  </w14:solidFill>
                </w14:textFill>
              </w:rPr>
              <w:t>本项得分＝（评标基准价</w:t>
            </w:r>
            <w:r>
              <w:rPr>
                <w:rFonts w:ascii="仿宋" w:hAnsi="仿宋" w:eastAsia="仿宋"/>
                <w:bCs/>
                <w:color w:val="000000" w:themeColor="text1"/>
                <w:sz w:val="24"/>
                <w14:textFill>
                  <w14:solidFill>
                    <w14:schemeClr w14:val="tx1"/>
                  </w14:solidFill>
                </w14:textFill>
              </w:rPr>
              <w:t>/投标报价）×5</w:t>
            </w:r>
            <w:bookmarkEnd w:id="104"/>
            <w:r>
              <w:rPr>
                <w:rFonts w:hint="eastAsia" w:ascii="仿宋" w:hAnsi="仿宋" w:eastAsia="仿宋"/>
                <w:bCs/>
                <w:color w:val="000000" w:themeColor="text1"/>
                <w:sz w:val="24"/>
                <w14:textFill>
                  <w14:solidFill>
                    <w14:schemeClr w14:val="tx1"/>
                  </w14:solidFill>
                </w14:textFill>
              </w:rPr>
              <w:t xml:space="preserve"> </w:t>
            </w:r>
          </w:p>
        </w:tc>
      </w:tr>
      <w:tr w14:paraId="6B5D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Pr>
          <w:p w14:paraId="6E87D0AB">
            <w:pPr>
              <w:pStyle w:val="16"/>
              <w:spacing w:after="0" w:line="360" w:lineRule="exact"/>
              <w:ind w:left="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其他部分</w:t>
            </w:r>
          </w:p>
        </w:tc>
      </w:tr>
      <w:tr w14:paraId="791A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9" w:type="pct"/>
          </w:tcPr>
          <w:p w14:paraId="7122112D">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账户管理费（2分）</w:t>
            </w:r>
          </w:p>
        </w:tc>
        <w:tc>
          <w:tcPr>
            <w:tcW w:w="3291" w:type="pct"/>
          </w:tcPr>
          <w:p w14:paraId="5127A611">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本项得分＝（评标基准价</w:t>
            </w:r>
            <w:r>
              <w:rPr>
                <w:rFonts w:ascii="仿宋" w:hAnsi="仿宋" w:eastAsia="仿宋"/>
                <w:bCs/>
                <w:color w:val="000000" w:themeColor="text1"/>
                <w:sz w:val="24"/>
                <w14:textFill>
                  <w14:solidFill>
                    <w14:schemeClr w14:val="tx1"/>
                  </w14:solidFill>
                </w14:textFill>
              </w:rPr>
              <w:t>/投标报价）×2</w:t>
            </w:r>
          </w:p>
        </w:tc>
      </w:tr>
      <w:tr w14:paraId="0870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9" w:type="pct"/>
          </w:tcPr>
          <w:p w14:paraId="0FA418B3">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托管管理费（2分）</w:t>
            </w:r>
          </w:p>
        </w:tc>
        <w:tc>
          <w:tcPr>
            <w:tcW w:w="3291" w:type="pct"/>
          </w:tcPr>
          <w:p w14:paraId="3590A0A9">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本项得分＝（评标基准价</w:t>
            </w:r>
            <w:r>
              <w:rPr>
                <w:rFonts w:ascii="仿宋" w:hAnsi="仿宋" w:eastAsia="仿宋"/>
                <w:bCs/>
                <w:color w:val="000000" w:themeColor="text1"/>
                <w:sz w:val="24"/>
                <w14:textFill>
                  <w14:solidFill>
                    <w14:schemeClr w14:val="tx1"/>
                  </w14:solidFill>
                </w14:textFill>
              </w:rPr>
              <w:t>/投标报价）×2</w:t>
            </w:r>
          </w:p>
        </w:tc>
      </w:tr>
      <w:tr w14:paraId="2975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9" w:type="pct"/>
            <w:vMerge w:val="restart"/>
          </w:tcPr>
          <w:p w14:paraId="53C65135">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投资管理费报价（6分）</w:t>
            </w:r>
          </w:p>
        </w:tc>
        <w:tc>
          <w:tcPr>
            <w:tcW w:w="3291" w:type="pct"/>
          </w:tcPr>
          <w:p w14:paraId="7A26316C">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固定收益类组合投资管理费报价（2分）</w:t>
            </w:r>
          </w:p>
          <w:p w14:paraId="4B0211E5">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本项得分＝（评标基准价</w:t>
            </w:r>
            <w:r>
              <w:rPr>
                <w:rFonts w:ascii="仿宋" w:hAnsi="仿宋" w:eastAsia="仿宋"/>
                <w:bCs/>
                <w:color w:val="000000" w:themeColor="text1"/>
                <w:sz w:val="24"/>
                <w14:textFill>
                  <w14:solidFill>
                    <w14:schemeClr w14:val="tx1"/>
                  </w14:solidFill>
                </w14:textFill>
              </w:rPr>
              <w:t>/投标报价）×2</w:t>
            </w:r>
          </w:p>
        </w:tc>
      </w:tr>
      <w:tr w14:paraId="2B52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9" w:type="pct"/>
            <w:vMerge w:val="continue"/>
          </w:tcPr>
          <w:p w14:paraId="13FE90C2">
            <w:pPr>
              <w:pStyle w:val="16"/>
              <w:spacing w:after="0" w:line="360" w:lineRule="exact"/>
              <w:ind w:left="0"/>
              <w:rPr>
                <w:rFonts w:ascii="仿宋" w:hAnsi="仿宋" w:eastAsia="仿宋"/>
                <w:bCs/>
                <w:color w:val="000000" w:themeColor="text1"/>
                <w:sz w:val="24"/>
                <w14:textFill>
                  <w14:solidFill>
                    <w14:schemeClr w14:val="tx1"/>
                  </w14:solidFill>
                </w14:textFill>
              </w:rPr>
            </w:pPr>
          </w:p>
        </w:tc>
        <w:tc>
          <w:tcPr>
            <w:tcW w:w="3291" w:type="pct"/>
          </w:tcPr>
          <w:p w14:paraId="28040C37">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含权益类组合投资管理费报价（4分）</w:t>
            </w:r>
          </w:p>
          <w:p w14:paraId="2AC38F02">
            <w:pPr>
              <w:pStyle w:val="16"/>
              <w:spacing w:after="0" w:line="360" w:lineRule="exact"/>
              <w:ind w:left="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本项得分＝（评标基准价</w:t>
            </w:r>
            <w:r>
              <w:rPr>
                <w:rFonts w:ascii="仿宋" w:hAnsi="仿宋" w:eastAsia="仿宋"/>
                <w:bCs/>
                <w:color w:val="000000" w:themeColor="text1"/>
                <w:sz w:val="24"/>
                <w14:textFill>
                  <w14:solidFill>
                    <w14:schemeClr w14:val="tx1"/>
                  </w14:solidFill>
                </w14:textFill>
              </w:rPr>
              <w:t>/投标报价）×4</w:t>
            </w:r>
          </w:p>
        </w:tc>
      </w:tr>
    </w:tbl>
    <w:p w14:paraId="318CFCF8"/>
    <w:p w14:paraId="2FC44F2F">
      <w:pPr>
        <w:pStyle w:val="5"/>
        <w:ind w:firstLine="560"/>
      </w:pPr>
      <w:r>
        <w:rPr>
          <w:rFonts w:hint="eastAsia"/>
        </w:rPr>
        <w:t>2</w:t>
      </w:r>
      <w:r>
        <w:t>.</w:t>
      </w:r>
      <w:r>
        <w:rPr>
          <w:rFonts w:hint="eastAsia"/>
        </w:rPr>
        <w:t>商务部分：3</w:t>
      </w:r>
      <w:r>
        <w:t>5</w:t>
      </w:r>
      <w:r>
        <w:rPr>
          <w:rFonts w:hint="eastAsia"/>
        </w:rPr>
        <w:t>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2"/>
        <w:gridCol w:w="5506"/>
      </w:tblGrid>
      <w:tr w14:paraId="5D94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772" w:type="pct"/>
            <w:vAlign w:val="center"/>
          </w:tcPr>
          <w:p w14:paraId="5ECC9048">
            <w:pPr>
              <w:spacing w:after="0" w:line="360" w:lineRule="exact"/>
              <w:jc w:val="center"/>
              <w:rPr>
                <w:rFonts w:ascii="宋体" w:hAnsi="宋体" w:eastAsia="仿宋"/>
                <w:b/>
                <w:bCs/>
                <w:color w:val="000000" w:themeColor="text1"/>
                <w:sz w:val="24"/>
                <w14:textFill>
                  <w14:solidFill>
                    <w14:schemeClr w14:val="tx1"/>
                  </w14:solidFill>
                </w14:textFill>
              </w:rPr>
            </w:pPr>
            <w:bookmarkStart w:id="105" w:name="OLE_LINK38"/>
            <w:bookmarkStart w:id="106" w:name="OLE_LINK39"/>
            <w:bookmarkStart w:id="107" w:name="_Hlk205649075"/>
            <w:r>
              <w:rPr>
                <w:rFonts w:hint="eastAsia" w:ascii="宋体" w:hAnsi="宋体" w:eastAsia="仿宋"/>
                <w:b/>
                <w:bCs/>
                <w:color w:val="000000" w:themeColor="text1"/>
                <w:sz w:val="24"/>
                <w14:textFill>
                  <w14:solidFill>
                    <w14:schemeClr w14:val="tx1"/>
                  </w14:solidFill>
                </w14:textFill>
              </w:rPr>
              <w:t>评分因素</w:t>
            </w:r>
          </w:p>
        </w:tc>
        <w:tc>
          <w:tcPr>
            <w:tcW w:w="3228" w:type="pct"/>
            <w:vAlign w:val="center"/>
          </w:tcPr>
          <w:p w14:paraId="68C80C7F">
            <w:pPr>
              <w:spacing w:after="0" w:line="360" w:lineRule="exact"/>
              <w:jc w:val="center"/>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t>评分标准</w:t>
            </w:r>
          </w:p>
        </w:tc>
      </w:tr>
      <w:tr w14:paraId="0C95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2" w:type="pct"/>
            <w:vAlign w:val="center"/>
          </w:tcPr>
          <w:p w14:paraId="1C28A557">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受托企业年金基金管理数量（5分）</w:t>
            </w:r>
          </w:p>
        </w:tc>
        <w:tc>
          <w:tcPr>
            <w:tcW w:w="3228" w:type="pct"/>
          </w:tcPr>
          <w:p w14:paraId="5E5BA9E2">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按投标人自2023年至今完成的同类业绩（受托企业年金管理服务项目；以合同签订日为准（需提供服务签订合同首页及签署页）的数量，升序排序并获取分数。</w:t>
            </w:r>
          </w:p>
          <w:p w14:paraId="7D91348A">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本项得分计算方法：</w:t>
            </w:r>
          </w:p>
          <w:p w14:paraId="4699927C">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本项得分=排序号x（</w:t>
            </w:r>
            <w:r>
              <w:rPr>
                <w:rFonts w:ascii="仿宋" w:hAnsi="仿宋" w:eastAsia="仿宋"/>
                <w:bCs/>
                <w:color w:val="000000" w:themeColor="text1"/>
                <w:sz w:val="24"/>
                <w14:textFill>
                  <w14:solidFill>
                    <w14:schemeClr w14:val="tx1"/>
                  </w14:solidFill>
                </w14:textFill>
              </w:rPr>
              <w:t>5</w:t>
            </w:r>
            <w:r>
              <w:rPr>
                <w:rFonts w:hint="eastAsia" w:ascii="仿宋" w:hAnsi="仿宋" w:eastAsia="仿宋"/>
                <w:bCs/>
                <w:color w:val="000000" w:themeColor="text1"/>
                <w:sz w:val="24"/>
                <w14:textFill>
                  <w14:solidFill>
                    <w14:schemeClr w14:val="tx1"/>
                  </w14:solidFill>
                </w14:textFill>
              </w:rPr>
              <w:t>/有效投标家数）</w:t>
            </w:r>
          </w:p>
        </w:tc>
      </w:tr>
      <w:tr w14:paraId="0AE5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2" w:type="pct"/>
            <w:vAlign w:val="center"/>
          </w:tcPr>
          <w:p w14:paraId="5E2BA40C">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拟采用集合计划规模（8分）</w:t>
            </w:r>
          </w:p>
        </w:tc>
        <w:tc>
          <w:tcPr>
            <w:tcW w:w="3228" w:type="pct"/>
          </w:tcPr>
          <w:p w14:paraId="4B415193">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按投标人就本次采购拟选用集合计划当前规模（截止至开标前一年度）资金量的大小，升序排序并获取分数。（需提供该集合计划上一季度符合人社部要求的报告首页及相关详情页）</w:t>
            </w:r>
          </w:p>
          <w:p w14:paraId="23E35FDA">
            <w:pPr>
              <w:spacing w:after="0" w:line="360" w:lineRule="exact"/>
              <w:rPr>
                <w:rFonts w:ascii="仿宋" w:hAnsi="仿宋" w:eastAsia="仿宋"/>
                <w:bCs/>
                <w:color w:val="000000" w:themeColor="text1"/>
                <w:sz w:val="24"/>
                <w14:textFill>
                  <w14:solidFill>
                    <w14:schemeClr w14:val="tx1"/>
                  </w14:solidFill>
                </w14:textFill>
              </w:rPr>
            </w:pPr>
          </w:p>
          <w:p w14:paraId="64E0F3CD">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本项得分计算方法：</w:t>
            </w:r>
          </w:p>
          <w:p w14:paraId="24F5F5DD">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本项得分=排序号x（8/有效投标家数）</w:t>
            </w:r>
          </w:p>
        </w:tc>
      </w:tr>
      <w:tr w14:paraId="71AB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2" w:type="pct"/>
            <w:vAlign w:val="center"/>
          </w:tcPr>
          <w:p w14:paraId="2DC7D508">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拟采用集合计划投资运营业绩（8分）</w:t>
            </w:r>
          </w:p>
        </w:tc>
        <w:tc>
          <w:tcPr>
            <w:tcW w:w="3228" w:type="pct"/>
          </w:tcPr>
          <w:p w14:paraId="6644576A">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以《</w:t>
            </w:r>
            <w:r>
              <w:fldChar w:fldCharType="begin"/>
            </w:r>
            <w:r>
              <w:instrText xml:space="preserve"> HYPERLINK "https://www.mohrss.gov.cn/xxgk2020/fdzdgknr/shbx_4216/shbxjjjg/qynjjd/202503/P020250318604858765914.pdf" </w:instrText>
            </w:r>
            <w:r>
              <w:fldChar w:fldCharType="separate"/>
            </w:r>
            <w:r>
              <w:rPr>
                <w:rFonts w:hint="eastAsia" w:ascii="仿宋" w:hAnsi="仿宋" w:eastAsia="仿宋"/>
                <w:bCs/>
                <w:color w:val="000000" w:themeColor="text1"/>
                <w:sz w:val="24"/>
                <w14:textFill>
                  <w14:solidFill>
                    <w14:schemeClr w14:val="tx1"/>
                  </w14:solidFill>
                </w14:textFill>
              </w:rPr>
              <w:t>2024年度全国企业年金基金业务数据摘要</w:t>
            </w:r>
            <w:r>
              <w:rPr>
                <w:rFonts w:hint="eastAsia" w:ascii="仿宋" w:hAnsi="仿宋" w:eastAsia="仿宋"/>
                <w:bCs/>
                <w:color w:val="000000" w:themeColor="text1"/>
                <w:sz w:val="24"/>
                <w14:textFill>
                  <w14:solidFill>
                    <w14:schemeClr w14:val="tx1"/>
                  </w14:solidFill>
                </w14:textFill>
              </w:rPr>
              <w:fldChar w:fldCharType="end"/>
            </w:r>
            <w:r>
              <w:rPr>
                <w:rFonts w:hint="eastAsia" w:ascii="仿宋" w:hAnsi="仿宋" w:eastAsia="仿宋"/>
                <w:bCs/>
                <w:color w:val="000000" w:themeColor="text1"/>
                <w:sz w:val="24"/>
                <w14:textFill>
                  <w14:solidFill>
                    <w14:schemeClr w14:val="tx1"/>
                  </w14:solidFill>
                </w14:textFill>
              </w:rPr>
              <w:t>》收益率情况表中集合计划合计收益率为基准，2024年集合计划管理情况表中投标人就本次采购拟选用集合计划当年加权平均收益率为依据，按收益率升序排序并获取得分。</w:t>
            </w:r>
          </w:p>
          <w:p w14:paraId="66DA7098">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如拟采用计划为新集合计划不存在当年加权平均收益率按收益率情况表中集合计划合计收益率计算排序。</w:t>
            </w:r>
          </w:p>
          <w:p w14:paraId="651E776B">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本项得分计算方法：</w:t>
            </w:r>
          </w:p>
          <w:p w14:paraId="5CD83BE8">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本项得分=排序号x（</w:t>
            </w:r>
            <w:r>
              <w:rPr>
                <w:rFonts w:ascii="仿宋" w:hAnsi="仿宋" w:eastAsia="仿宋"/>
                <w:bCs/>
                <w:color w:val="000000" w:themeColor="text1"/>
                <w:sz w:val="24"/>
                <w14:textFill>
                  <w14:solidFill>
                    <w14:schemeClr w14:val="tx1"/>
                  </w14:solidFill>
                </w14:textFill>
              </w:rPr>
              <w:t>8</w:t>
            </w:r>
            <w:r>
              <w:rPr>
                <w:rFonts w:hint="eastAsia" w:ascii="仿宋" w:hAnsi="仿宋" w:eastAsia="仿宋"/>
                <w:bCs/>
                <w:color w:val="000000" w:themeColor="text1"/>
                <w:sz w:val="24"/>
                <w14:textFill>
                  <w14:solidFill>
                    <w14:schemeClr w14:val="tx1"/>
                  </w14:solidFill>
                </w14:textFill>
              </w:rPr>
              <w:t>/有效投标家数）</w:t>
            </w:r>
          </w:p>
          <w:p w14:paraId="6E7F0CAB">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其中集合计划收益率等于基准收益率的扣0.5分；</w:t>
            </w:r>
          </w:p>
          <w:p w14:paraId="1B15F0B6">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其中集合计划收益率等于基准收益率的扣1分；</w:t>
            </w:r>
          </w:p>
          <w:p w14:paraId="33C041DF">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本项最低得分0分。</w:t>
            </w:r>
          </w:p>
        </w:tc>
      </w:tr>
      <w:tr w14:paraId="3C70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2" w:type="pct"/>
            <w:vAlign w:val="center"/>
          </w:tcPr>
          <w:p w14:paraId="67F071CA">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拟采用集合计划流动性支持（6分）</w:t>
            </w:r>
          </w:p>
        </w:tc>
        <w:tc>
          <w:tcPr>
            <w:tcW w:w="3228" w:type="pct"/>
          </w:tcPr>
          <w:p w14:paraId="5385DF37">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投标人能出具正式担保文件、流动性支持函（需具备无条件、无限期向投标人提供流动性支持条款的，得6分。</w:t>
            </w:r>
          </w:p>
          <w:p w14:paraId="60EA1A56">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投标人能出具正式担保文件、流动性支持函（不具备无条件、无限期向投标人提供流动性支持条款的，得3分。</w:t>
            </w:r>
          </w:p>
          <w:p w14:paraId="10013155">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投标人无法出具任何流动性支持证明文件的不得分。</w:t>
            </w:r>
          </w:p>
          <w:p w14:paraId="18CE466C">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注：正式担保文件、流动性支持函，可由投标人母公司、控股股东、第三方金融机构等其他法律法规认可的自然人或法人机构出具。</w:t>
            </w:r>
          </w:p>
        </w:tc>
      </w:tr>
      <w:tr w14:paraId="4FC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2" w:type="pct"/>
            <w:vAlign w:val="center"/>
          </w:tcPr>
          <w:p w14:paraId="403BF518">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内部管理制度及组织架构</w:t>
            </w:r>
          </w:p>
          <w:p w14:paraId="57366EE9">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（3分）</w:t>
            </w:r>
          </w:p>
        </w:tc>
        <w:tc>
          <w:tcPr>
            <w:tcW w:w="3228" w:type="pct"/>
          </w:tcPr>
          <w:p w14:paraId="5E49CEA3">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投标人具有完善的内部管理制度，且组织架构清晰的，得3分。</w:t>
            </w:r>
          </w:p>
          <w:p w14:paraId="508935EE">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投标人内部管理制度有一项缺失，或组织架构有少量职责不清或重复的，得2分。</w:t>
            </w:r>
          </w:p>
          <w:p w14:paraId="3AE6C8D2">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投标人内部管理制度有两项，或组织架构存在部分职责不清或重复的，得1分。</w:t>
            </w:r>
          </w:p>
          <w:p w14:paraId="42B30691">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投标人内部管理制度有多项（大于两项不含），或组织架构混乱的，不得分。</w:t>
            </w:r>
          </w:p>
          <w:p w14:paraId="690FC031">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注：</w:t>
            </w:r>
          </w:p>
          <w:p w14:paraId="1C4CF7A3">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完善指针对各环节、流程等，管理制度不存在缺失。</w:t>
            </w:r>
          </w:p>
        </w:tc>
      </w:tr>
      <w:tr w14:paraId="2921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2" w:type="pct"/>
            <w:vAlign w:val="center"/>
          </w:tcPr>
          <w:p w14:paraId="500171E4">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合规经营情况（5分）</w:t>
            </w:r>
          </w:p>
        </w:tc>
        <w:tc>
          <w:tcPr>
            <w:tcW w:w="3228" w:type="pct"/>
          </w:tcPr>
          <w:p w14:paraId="627B2406">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近三年投标人在年金业务管理或投资中未发生风险事件，未受到监管部门或执法部门的业务限制或处罚；投标人及其集团总部的高级管理人员未受到监管部门或纪委监委、执法部门的业务限制或处罚。有任意一条得0分。（提供承诺函）</w:t>
            </w:r>
          </w:p>
        </w:tc>
      </w:tr>
      <w:bookmarkEnd w:id="105"/>
      <w:bookmarkEnd w:id="106"/>
    </w:tbl>
    <w:p w14:paraId="253B0918">
      <w:pPr>
        <w:rPr>
          <w:rFonts w:ascii="宋体" w:hAnsi="宋体" w:eastAsia="仿宋"/>
          <w:b/>
          <w:bCs/>
          <w:color w:val="000000" w:themeColor="text1"/>
          <w:sz w:val="24"/>
          <w14:textFill>
            <w14:solidFill>
              <w14:schemeClr w14:val="tx1"/>
            </w14:solidFill>
          </w14:textFill>
        </w:rPr>
      </w:pPr>
    </w:p>
    <w:p w14:paraId="68B63E3D">
      <w:pPr>
        <w:rPr>
          <w:rFonts w:ascii="宋体" w:hAnsi="宋体" w:eastAsia="仿宋"/>
          <w:b/>
          <w:bCs/>
          <w:color w:val="000000" w:themeColor="text1"/>
          <w:sz w:val="24"/>
          <w14:textFill>
            <w14:solidFill>
              <w14:schemeClr w14:val="tx1"/>
            </w14:solidFill>
          </w14:textFill>
        </w:rPr>
      </w:pPr>
    </w:p>
    <w:p w14:paraId="1DB04683">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327EAA37">
      <w:pPr>
        <w:pStyle w:val="5"/>
        <w:ind w:firstLine="560"/>
        <w:rPr>
          <w:rFonts w:ascii="仿宋" w:hAnsi="仿宋"/>
        </w:rPr>
      </w:pPr>
      <w:r>
        <w:rPr>
          <w:rFonts w:hint="eastAsia" w:ascii="仿宋" w:hAnsi="仿宋"/>
        </w:rPr>
        <w:t>3</w:t>
      </w:r>
      <w:r>
        <w:rPr>
          <w:rFonts w:ascii="仿宋" w:hAnsi="仿宋"/>
        </w:rPr>
        <w:t>.</w:t>
      </w:r>
      <w:r>
        <w:rPr>
          <w:rFonts w:hint="eastAsia" w:ascii="仿宋" w:hAnsi="仿宋"/>
        </w:rPr>
        <w:t>技术部分：5</w:t>
      </w:r>
      <w:r>
        <w:rPr>
          <w:rFonts w:ascii="仿宋" w:hAnsi="仿宋"/>
        </w:rPr>
        <w:t>0</w:t>
      </w:r>
      <w:r>
        <w:rPr>
          <w:rFonts w:hint="eastAsia" w:ascii="仿宋" w:hAnsi="仿宋"/>
        </w:rPr>
        <w:t>分</w:t>
      </w:r>
    </w:p>
    <w:bookmarkEnd w:id="107"/>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185"/>
        <w:gridCol w:w="5038"/>
      </w:tblGrid>
      <w:tr w14:paraId="444C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6" w:type="pct"/>
            <w:gridSpan w:val="2"/>
            <w:tcBorders>
              <w:top w:val="single" w:color="auto" w:sz="4" w:space="0"/>
              <w:left w:val="single" w:color="auto" w:sz="4" w:space="0"/>
              <w:bottom w:val="single" w:color="auto" w:sz="4" w:space="0"/>
              <w:right w:val="single" w:color="auto" w:sz="4" w:space="0"/>
            </w:tcBorders>
            <w:vAlign w:val="center"/>
          </w:tcPr>
          <w:p w14:paraId="07985B6F">
            <w:pPr>
              <w:spacing w:after="0" w:line="360" w:lineRule="exact"/>
              <w:jc w:val="center"/>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t>评分因素</w:t>
            </w:r>
          </w:p>
        </w:tc>
        <w:tc>
          <w:tcPr>
            <w:tcW w:w="2954" w:type="pct"/>
            <w:tcBorders>
              <w:top w:val="single" w:color="auto" w:sz="4" w:space="0"/>
              <w:left w:val="single" w:color="auto" w:sz="4" w:space="0"/>
              <w:bottom w:val="single" w:color="auto" w:sz="4" w:space="0"/>
              <w:right w:val="single" w:color="auto" w:sz="4" w:space="0"/>
            </w:tcBorders>
            <w:vAlign w:val="center"/>
          </w:tcPr>
          <w:p w14:paraId="33AB0E34">
            <w:pPr>
              <w:spacing w:after="0" w:line="360" w:lineRule="exact"/>
              <w:jc w:val="center"/>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t>评分标准</w:t>
            </w:r>
          </w:p>
        </w:tc>
      </w:tr>
      <w:tr w14:paraId="6E14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restart"/>
            <w:tcBorders>
              <w:top w:val="single" w:color="auto" w:sz="4" w:space="0"/>
              <w:left w:val="single" w:color="auto" w:sz="4" w:space="0"/>
              <w:right w:val="single" w:color="auto" w:sz="4" w:space="0"/>
            </w:tcBorders>
            <w:vAlign w:val="center"/>
          </w:tcPr>
          <w:p w14:paraId="2F69B8F9">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服务方案</w:t>
            </w:r>
          </w:p>
          <w:p w14:paraId="4D79770E">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w:t>
            </w:r>
            <w:r>
              <w:rPr>
                <w:rFonts w:ascii="仿宋" w:hAnsi="仿宋" w:eastAsia="仿宋"/>
                <w:bCs/>
                <w:color w:val="000000" w:themeColor="text1"/>
                <w:sz w:val="24"/>
                <w14:textFill>
                  <w14:solidFill>
                    <w14:schemeClr w14:val="tx1"/>
                  </w14:solidFill>
                </w14:textFill>
              </w:rPr>
              <w:t>40分）</w:t>
            </w:r>
          </w:p>
        </w:tc>
        <w:tc>
          <w:tcPr>
            <w:tcW w:w="1281" w:type="pct"/>
            <w:vAlign w:val="center"/>
          </w:tcPr>
          <w:p w14:paraId="26767BB0">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服务人员配置（3分）</w:t>
            </w:r>
          </w:p>
        </w:tc>
        <w:tc>
          <w:tcPr>
            <w:tcW w:w="2954" w:type="pct"/>
          </w:tcPr>
          <w:p w14:paraId="56C928F4">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投标人为本项目拟组建的服务团队人员充足、且分工合理的（有专职人员负责日常报告资料汇总传递、前期手续报批专员、项目负责人等），得3分。</w:t>
            </w:r>
          </w:p>
          <w:p w14:paraId="7E34F912">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投标人为本项目拟组建的服务团队人员适当的（一人同时兼任两项职责）的，得2分。</w:t>
            </w:r>
          </w:p>
          <w:p w14:paraId="4DA27FFD">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投标人为本项目拟组建的服务团队人员不足（一人同时兼任多项职责）的，得1分。</w:t>
            </w:r>
          </w:p>
        </w:tc>
      </w:tr>
      <w:tr w14:paraId="6B1B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continue"/>
            <w:tcBorders>
              <w:left w:val="single" w:color="auto" w:sz="4" w:space="0"/>
              <w:right w:val="single" w:color="auto" w:sz="4" w:space="0"/>
            </w:tcBorders>
            <w:vAlign w:val="center"/>
          </w:tcPr>
          <w:p w14:paraId="35C50451">
            <w:pPr>
              <w:spacing w:after="0" w:line="360" w:lineRule="exact"/>
              <w:rPr>
                <w:rFonts w:ascii="仿宋" w:hAnsi="仿宋" w:eastAsia="仿宋"/>
                <w:bCs/>
                <w:color w:val="000000" w:themeColor="text1"/>
                <w:sz w:val="24"/>
                <w14:textFill>
                  <w14:solidFill>
                    <w14:schemeClr w14:val="tx1"/>
                  </w14:solidFill>
                </w14:textFill>
              </w:rPr>
            </w:pPr>
          </w:p>
        </w:tc>
        <w:tc>
          <w:tcPr>
            <w:tcW w:w="1281" w:type="pct"/>
            <w:tcBorders>
              <w:top w:val="single" w:color="auto" w:sz="4" w:space="0"/>
              <w:left w:val="single" w:color="auto" w:sz="4" w:space="0"/>
              <w:bottom w:val="single" w:color="auto" w:sz="4" w:space="0"/>
              <w:right w:val="single" w:color="auto" w:sz="4" w:space="0"/>
            </w:tcBorders>
            <w:vAlign w:val="center"/>
          </w:tcPr>
          <w:p w14:paraId="3B6B2F54">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监管制度（</w:t>
            </w:r>
            <w:r>
              <w:rPr>
                <w:rFonts w:ascii="仿宋" w:hAnsi="仿宋" w:eastAsia="仿宋"/>
                <w:bCs/>
                <w:color w:val="000000" w:themeColor="text1"/>
                <w:sz w:val="24"/>
                <w14:textFill>
                  <w14:solidFill>
                    <w14:schemeClr w14:val="tx1"/>
                  </w14:solidFill>
                </w14:textFill>
              </w:rPr>
              <w:t>4分）</w:t>
            </w:r>
          </w:p>
        </w:tc>
        <w:tc>
          <w:tcPr>
            <w:tcW w:w="2954" w:type="pct"/>
            <w:tcBorders>
              <w:top w:val="single" w:color="auto" w:sz="4" w:space="0"/>
              <w:left w:val="single" w:color="auto" w:sz="4" w:space="0"/>
              <w:bottom w:val="single" w:color="auto" w:sz="4" w:space="0"/>
              <w:right w:val="single" w:color="auto" w:sz="4" w:space="0"/>
            </w:tcBorders>
          </w:tcPr>
          <w:p w14:paraId="49F71542">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投标人能对账户管理人、托管人、投资管理人履行相应职责进行有力监管的；监管制度完善、合理、可行性高的，得4分。</w:t>
            </w:r>
          </w:p>
          <w:p w14:paraId="26F76F9A">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投标人对账户管理人、托管人、投资管理人履行相应职责监管力度较低的，监管制度完善、合理、可行性一般的，得3分。</w:t>
            </w:r>
          </w:p>
          <w:p w14:paraId="7D812CA0">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投标人对账户管理人、托管人、投资管理人履行相应职责监管效力较低的；监管制度完善、合理、可行性较低的，得2分。</w:t>
            </w:r>
          </w:p>
          <w:p w14:paraId="5F99F37A">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投标人对账户管理人、托管人、投资管理人履行相应职责缺乏有效监管措施的、监管制度有缺失或不合理的，得1分。</w:t>
            </w:r>
          </w:p>
          <w:p w14:paraId="301E8B2E">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注：</w:t>
            </w:r>
          </w:p>
          <w:p w14:paraId="1ECE20DB">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完善指针对各环节、流程节点等，监管制度不存在缺失。</w:t>
            </w:r>
          </w:p>
          <w:p w14:paraId="23861D36">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可行性指监管制度执行时效性，困难程度等。</w:t>
            </w:r>
          </w:p>
        </w:tc>
      </w:tr>
      <w:tr w14:paraId="2D58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continue"/>
            <w:tcBorders>
              <w:left w:val="single" w:color="auto" w:sz="4" w:space="0"/>
              <w:right w:val="single" w:color="auto" w:sz="4" w:space="0"/>
            </w:tcBorders>
            <w:vAlign w:val="center"/>
          </w:tcPr>
          <w:p w14:paraId="1555CD49">
            <w:pPr>
              <w:spacing w:after="0" w:line="360" w:lineRule="exact"/>
              <w:rPr>
                <w:rFonts w:ascii="仿宋" w:hAnsi="仿宋" w:eastAsia="仿宋"/>
                <w:bCs/>
                <w:color w:val="000000" w:themeColor="text1"/>
                <w:sz w:val="24"/>
                <w14:textFill>
                  <w14:solidFill>
                    <w14:schemeClr w14:val="tx1"/>
                  </w14:solidFill>
                </w14:textFill>
              </w:rPr>
            </w:pPr>
          </w:p>
        </w:tc>
        <w:tc>
          <w:tcPr>
            <w:tcW w:w="1281" w:type="pct"/>
            <w:tcBorders>
              <w:top w:val="single" w:color="auto" w:sz="4" w:space="0"/>
              <w:left w:val="single" w:color="auto" w:sz="4" w:space="0"/>
              <w:bottom w:val="single" w:color="auto" w:sz="4" w:space="0"/>
              <w:right w:val="single" w:color="auto" w:sz="4" w:space="0"/>
            </w:tcBorders>
            <w:vAlign w:val="center"/>
          </w:tcPr>
          <w:p w14:paraId="12911A38">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投资顾问服务（2分）</w:t>
            </w:r>
          </w:p>
        </w:tc>
        <w:tc>
          <w:tcPr>
            <w:tcW w:w="2954" w:type="pct"/>
          </w:tcPr>
          <w:p w14:paraId="3BD3C2C8">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投标人能根据市场情况及集合计划运营情况，对采购人年金计划投资组合选择及相关投资计划，提供优质、专业投顾服务的，得2分。</w:t>
            </w:r>
          </w:p>
          <w:p w14:paraId="45E443A7">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投标人能根据市场情况及集合计划运营情况，对采购人年金计划投资组合提供有效专业投顾服务的，得1分。</w:t>
            </w:r>
          </w:p>
          <w:p w14:paraId="50963412">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（给出投资建议时需有足够支撑材料）</w:t>
            </w:r>
          </w:p>
        </w:tc>
      </w:tr>
      <w:tr w14:paraId="20A0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continue"/>
            <w:tcBorders>
              <w:left w:val="single" w:color="auto" w:sz="4" w:space="0"/>
              <w:right w:val="single" w:color="auto" w:sz="4" w:space="0"/>
            </w:tcBorders>
            <w:vAlign w:val="center"/>
          </w:tcPr>
          <w:p w14:paraId="35FE5DD9">
            <w:pPr>
              <w:spacing w:after="0" w:line="360" w:lineRule="exact"/>
              <w:rPr>
                <w:rFonts w:ascii="仿宋" w:hAnsi="仿宋" w:eastAsia="仿宋"/>
                <w:bCs/>
                <w:color w:val="000000" w:themeColor="text1"/>
                <w:sz w:val="24"/>
                <w14:textFill>
                  <w14:solidFill>
                    <w14:schemeClr w14:val="tx1"/>
                  </w14:solidFill>
                </w14:textFill>
              </w:rPr>
            </w:pPr>
          </w:p>
        </w:tc>
        <w:tc>
          <w:tcPr>
            <w:tcW w:w="1281" w:type="pct"/>
            <w:tcBorders>
              <w:top w:val="single" w:color="auto" w:sz="4" w:space="0"/>
              <w:left w:val="single" w:color="auto" w:sz="4" w:space="0"/>
              <w:bottom w:val="single" w:color="auto" w:sz="4" w:space="0"/>
              <w:right w:val="single" w:color="auto" w:sz="4" w:space="0"/>
            </w:tcBorders>
            <w:vAlign w:val="center"/>
          </w:tcPr>
          <w:p w14:paraId="2D7BCDAB">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年金计划信息查询系统（5分）</w:t>
            </w:r>
          </w:p>
        </w:tc>
        <w:tc>
          <w:tcPr>
            <w:tcW w:w="2954" w:type="pct"/>
          </w:tcPr>
          <w:p w14:paraId="7BDA907D">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投标人的年金计划信息查询平台可提供7x24小时全天候查询的；查询入口包括网页、app、小程序、线下柜台及柜员机的，得5分。</w:t>
            </w:r>
          </w:p>
          <w:p w14:paraId="5E0C803A">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无法提供7x24小时查询服务的扣1分，查询入口每少1项扣1分。</w:t>
            </w:r>
          </w:p>
        </w:tc>
      </w:tr>
      <w:tr w14:paraId="43DD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continue"/>
            <w:tcBorders>
              <w:left w:val="single" w:color="auto" w:sz="4" w:space="0"/>
              <w:right w:val="single" w:color="auto" w:sz="4" w:space="0"/>
            </w:tcBorders>
            <w:vAlign w:val="center"/>
          </w:tcPr>
          <w:p w14:paraId="057BCA62">
            <w:pPr>
              <w:spacing w:after="0" w:line="360" w:lineRule="exact"/>
              <w:rPr>
                <w:rFonts w:ascii="仿宋" w:hAnsi="仿宋" w:eastAsia="仿宋"/>
                <w:bCs/>
                <w:color w:val="000000" w:themeColor="text1"/>
                <w:sz w:val="24"/>
                <w14:textFill>
                  <w14:solidFill>
                    <w14:schemeClr w14:val="tx1"/>
                  </w14:solidFill>
                </w14:textFill>
              </w:rPr>
            </w:pPr>
          </w:p>
        </w:tc>
        <w:tc>
          <w:tcPr>
            <w:tcW w:w="1281" w:type="pct"/>
            <w:tcBorders>
              <w:top w:val="single" w:color="auto" w:sz="4" w:space="0"/>
              <w:left w:val="single" w:color="auto" w:sz="4" w:space="0"/>
              <w:bottom w:val="single" w:color="auto" w:sz="4" w:space="0"/>
              <w:right w:val="single" w:color="auto" w:sz="4" w:space="0"/>
            </w:tcBorders>
            <w:vAlign w:val="center"/>
          </w:tcPr>
          <w:p w14:paraId="3D301EBB">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受托管理系统（3分）</w:t>
            </w:r>
          </w:p>
        </w:tc>
        <w:tc>
          <w:tcPr>
            <w:tcW w:w="2954" w:type="pct"/>
          </w:tcPr>
          <w:p w14:paraId="1D386309">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投标人受托管理系统完善，满足日常运营需求的，得2分；受托管理系统功能有缺失的，或无法完全满足日常运营需求的，得1分；</w:t>
            </w:r>
          </w:p>
          <w:p w14:paraId="103CF235">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在投标人受托管理系统完善，满足日常运营需求的基础上，受托管理系统为自主开发的或有专门系统维护人员或部门的，加1分；</w:t>
            </w:r>
          </w:p>
          <w:p w14:paraId="50ED8A3E">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投标人无专门受托管理系统的，不得分。</w:t>
            </w:r>
          </w:p>
        </w:tc>
      </w:tr>
      <w:tr w14:paraId="3FED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continue"/>
            <w:tcBorders>
              <w:left w:val="single" w:color="auto" w:sz="4" w:space="0"/>
              <w:right w:val="single" w:color="auto" w:sz="4" w:space="0"/>
            </w:tcBorders>
            <w:vAlign w:val="center"/>
          </w:tcPr>
          <w:p w14:paraId="1DCF6DB5">
            <w:pPr>
              <w:spacing w:after="0" w:line="360" w:lineRule="exact"/>
              <w:rPr>
                <w:rFonts w:ascii="仿宋" w:hAnsi="仿宋" w:eastAsia="仿宋"/>
                <w:bCs/>
                <w:color w:val="000000" w:themeColor="text1"/>
                <w:sz w:val="24"/>
                <w14:textFill>
                  <w14:solidFill>
                    <w14:schemeClr w14:val="tx1"/>
                  </w14:solidFill>
                </w14:textFill>
              </w:rPr>
            </w:pPr>
          </w:p>
        </w:tc>
        <w:tc>
          <w:tcPr>
            <w:tcW w:w="1281" w:type="pct"/>
            <w:vAlign w:val="center"/>
          </w:tcPr>
          <w:p w14:paraId="7B676CF2">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服务方案实施流程及业务制度（ 5分）</w:t>
            </w:r>
          </w:p>
        </w:tc>
        <w:tc>
          <w:tcPr>
            <w:tcW w:w="2954" w:type="pct"/>
          </w:tcPr>
          <w:p w14:paraId="691856FF">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对投标人提交的本项目服务方案，根据各项流程及业务制度的完善程度、可行性等，进行综合评价。</w:t>
            </w:r>
          </w:p>
          <w:p w14:paraId="65CE5EF5">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投标人服务方案仅能确保按相关法律法规要求提供企业年金托管服务的，得1分</w:t>
            </w:r>
          </w:p>
          <w:p w14:paraId="391DD38B">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在确保能按相关法律法规要求提供企业年金托管服务的投标人服务方案完善、流程合理的，最多加1分；</w:t>
            </w:r>
          </w:p>
          <w:p w14:paraId="48493C9C">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在确保不违反相关法律法规要求的前提下投标人服务方案中服务标准高于法律法规规定的，每项最多加1分；（包括但不限于信息披露时效和详实程度（计为1项）；能定期额外提供具有法律效力的有第三方出具的企业年金集合计划审计报告的，档案保管留存标准等）</w:t>
            </w:r>
          </w:p>
          <w:p w14:paraId="39B06A5B">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本项最高得分5分。</w:t>
            </w:r>
          </w:p>
        </w:tc>
      </w:tr>
      <w:tr w14:paraId="08F2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continue"/>
            <w:tcBorders>
              <w:left w:val="single" w:color="auto" w:sz="4" w:space="0"/>
              <w:right w:val="single" w:color="auto" w:sz="4" w:space="0"/>
            </w:tcBorders>
            <w:vAlign w:val="center"/>
          </w:tcPr>
          <w:p w14:paraId="1C39C124">
            <w:pPr>
              <w:spacing w:after="0" w:line="360" w:lineRule="exact"/>
              <w:rPr>
                <w:rFonts w:ascii="仿宋" w:hAnsi="仿宋" w:eastAsia="仿宋"/>
                <w:bCs/>
                <w:color w:val="000000" w:themeColor="text1"/>
                <w:sz w:val="24"/>
                <w14:textFill>
                  <w14:solidFill>
                    <w14:schemeClr w14:val="tx1"/>
                  </w14:solidFill>
                </w14:textFill>
              </w:rPr>
            </w:pPr>
          </w:p>
        </w:tc>
        <w:tc>
          <w:tcPr>
            <w:tcW w:w="1281" w:type="pct"/>
            <w:vAlign w:val="center"/>
          </w:tcPr>
          <w:p w14:paraId="6EB33913">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关键控制点及措施（4分）</w:t>
            </w:r>
          </w:p>
        </w:tc>
        <w:tc>
          <w:tcPr>
            <w:tcW w:w="2954" w:type="pct"/>
          </w:tcPr>
          <w:p w14:paraId="7FF2F449">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对投标人提交的本项目服务方案中关键控制点及相应措施，根据节点清晰度、措施可行性等，进行综合评价。</w:t>
            </w:r>
          </w:p>
          <w:p w14:paraId="26929E3D">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关键控制点设定准确的、节点划分清晰明确的；针对各控制点所制定的措施科学有效的、可行性高的；得4分；</w:t>
            </w:r>
          </w:p>
          <w:p w14:paraId="61CD5E9A">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关键控制点设定不够准确、节点划分混乱的，最多扣1分；</w:t>
            </w:r>
          </w:p>
          <w:p w14:paraId="1EB32EFC">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针对各结点所制定的措施有缺失、疏漏的，最多扣1分；</w:t>
            </w:r>
          </w:p>
          <w:p w14:paraId="5B1E48BF">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针对各结点所制定的措施不够完善或不合理的，最多扣1分；</w:t>
            </w:r>
          </w:p>
          <w:p w14:paraId="33D9A101">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针对各结点所制定的措施可行性不够高或有效性低的，最多扣1分。</w:t>
            </w:r>
          </w:p>
          <w:p w14:paraId="6CA1742D">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本项扣完为止。</w:t>
            </w:r>
          </w:p>
        </w:tc>
      </w:tr>
      <w:tr w14:paraId="0F97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continue"/>
            <w:tcBorders>
              <w:left w:val="single" w:color="auto" w:sz="4" w:space="0"/>
              <w:right w:val="single" w:color="auto" w:sz="4" w:space="0"/>
            </w:tcBorders>
            <w:vAlign w:val="center"/>
          </w:tcPr>
          <w:p w14:paraId="0038988E">
            <w:pPr>
              <w:spacing w:after="0" w:line="360" w:lineRule="exact"/>
              <w:rPr>
                <w:rFonts w:ascii="仿宋" w:hAnsi="仿宋" w:eastAsia="仿宋"/>
                <w:bCs/>
                <w:color w:val="000000" w:themeColor="text1"/>
                <w:sz w:val="24"/>
                <w14:textFill>
                  <w14:solidFill>
                    <w14:schemeClr w14:val="tx1"/>
                  </w14:solidFill>
                </w14:textFill>
              </w:rPr>
            </w:pPr>
          </w:p>
        </w:tc>
        <w:tc>
          <w:tcPr>
            <w:tcW w:w="1281" w:type="pct"/>
            <w:vAlign w:val="center"/>
          </w:tcPr>
          <w:p w14:paraId="16413C95">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风险控制能力（含非标资产风险管理）（6分）</w:t>
            </w:r>
          </w:p>
        </w:tc>
        <w:tc>
          <w:tcPr>
            <w:tcW w:w="2954" w:type="pct"/>
            <w:vAlign w:val="center"/>
          </w:tcPr>
          <w:p w14:paraId="253CBEF2">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对投标人针对企业年金投资及运营建立的事前、事中、事后的风控制度和流程，及非标资产风险管理审核、风险控制措施，进行综合评价。</w:t>
            </w:r>
          </w:p>
          <w:p w14:paraId="267606FC">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投标人针对企业年金投资及运营所设立的风控制度完善、流程合理；非标资产管理审核、风险控制措施，针对性高、可行性强的，得6分；</w:t>
            </w:r>
          </w:p>
          <w:p w14:paraId="18F6A673">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投标人针对企业年金投资及运营所设立的风控制度有缺失的，每项最多扣1分；</w:t>
            </w:r>
          </w:p>
          <w:p w14:paraId="495C4665">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投标人针对企业年金投资及运营所设立的风控制度流程存在不合理部分的，最多扣2分；</w:t>
            </w:r>
          </w:p>
          <w:p w14:paraId="74056881">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投标人对非标资产风险管理审核、风险控制措施针对性有偏差的，最多扣2分；</w:t>
            </w:r>
          </w:p>
          <w:p w14:paraId="0E871893">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投标人对非标资产风险管理审核、风险控制措施实施有困难的，最多扣2分；</w:t>
            </w:r>
          </w:p>
          <w:p w14:paraId="6FC66EAE">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本项扣完为止。</w:t>
            </w:r>
          </w:p>
          <w:p w14:paraId="5FBDCE0F">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 xml:space="preserve">注：完善指针对各环节、流程节点等，风险制度不存在缺失。                                                                         </w:t>
            </w:r>
          </w:p>
        </w:tc>
      </w:tr>
      <w:tr w14:paraId="4A40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continue"/>
            <w:tcBorders>
              <w:left w:val="single" w:color="auto" w:sz="4" w:space="0"/>
              <w:right w:val="single" w:color="auto" w:sz="4" w:space="0"/>
            </w:tcBorders>
            <w:vAlign w:val="center"/>
          </w:tcPr>
          <w:p w14:paraId="4D4696F9">
            <w:pPr>
              <w:spacing w:after="0" w:line="360" w:lineRule="exact"/>
              <w:rPr>
                <w:rFonts w:ascii="仿宋" w:hAnsi="仿宋" w:eastAsia="仿宋"/>
                <w:bCs/>
                <w:color w:val="000000" w:themeColor="text1"/>
                <w:sz w:val="24"/>
                <w14:textFill>
                  <w14:solidFill>
                    <w14:schemeClr w14:val="tx1"/>
                  </w14:solidFill>
                </w14:textFill>
              </w:rPr>
            </w:pPr>
          </w:p>
        </w:tc>
        <w:tc>
          <w:tcPr>
            <w:tcW w:w="1281" w:type="pct"/>
            <w:vAlign w:val="center"/>
          </w:tcPr>
          <w:p w14:paraId="281ABC9A">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风险预警及危机处理能力（2分）</w:t>
            </w:r>
          </w:p>
        </w:tc>
        <w:tc>
          <w:tcPr>
            <w:tcW w:w="2954" w:type="pct"/>
          </w:tcPr>
          <w:p w14:paraId="7A9988F2">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投标人有风险预警机制的，和专门的危机处理机构的，得2分；</w:t>
            </w:r>
          </w:p>
          <w:p w14:paraId="6F27B64E">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投标人不具有风险预警机制的扣1分。</w:t>
            </w:r>
          </w:p>
          <w:p w14:paraId="24C23A3C">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投标人无专门的危机处理机构的扣1分</w:t>
            </w:r>
          </w:p>
        </w:tc>
      </w:tr>
      <w:tr w14:paraId="4705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continue"/>
            <w:tcBorders>
              <w:left w:val="single" w:color="auto" w:sz="4" w:space="0"/>
              <w:right w:val="single" w:color="auto" w:sz="4" w:space="0"/>
            </w:tcBorders>
            <w:vAlign w:val="center"/>
          </w:tcPr>
          <w:p w14:paraId="07285190">
            <w:pPr>
              <w:spacing w:after="0" w:line="360" w:lineRule="exact"/>
              <w:rPr>
                <w:rFonts w:ascii="仿宋" w:hAnsi="仿宋" w:eastAsia="仿宋"/>
                <w:bCs/>
                <w:color w:val="000000" w:themeColor="text1"/>
                <w:sz w:val="24"/>
                <w14:textFill>
                  <w14:solidFill>
                    <w14:schemeClr w14:val="tx1"/>
                  </w14:solidFill>
                </w14:textFill>
              </w:rPr>
            </w:pPr>
          </w:p>
        </w:tc>
        <w:tc>
          <w:tcPr>
            <w:tcW w:w="1281" w:type="pct"/>
            <w:vMerge w:val="restart"/>
            <w:tcBorders>
              <w:top w:val="single" w:color="auto" w:sz="4" w:space="0"/>
              <w:left w:val="single" w:color="auto" w:sz="4" w:space="0"/>
              <w:right w:val="single" w:color="auto" w:sz="4" w:space="0"/>
            </w:tcBorders>
            <w:vAlign w:val="center"/>
          </w:tcPr>
          <w:p w14:paraId="30CDAD4C">
            <w:pPr>
              <w:spacing w:after="0" w:line="36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灾难回复策略及设施（</w:t>
            </w:r>
            <w:r>
              <w:rPr>
                <w:rFonts w:ascii="仿宋" w:hAnsi="仿宋" w:eastAsia="仿宋"/>
                <w:bCs/>
                <w:color w:val="000000" w:themeColor="text1"/>
                <w:sz w:val="24"/>
                <w14:textFill>
                  <w14:solidFill>
                    <w14:schemeClr w14:val="tx1"/>
                  </w14:solidFill>
                </w14:textFill>
              </w:rPr>
              <w:t>6分）</w:t>
            </w:r>
          </w:p>
        </w:tc>
        <w:tc>
          <w:tcPr>
            <w:tcW w:w="2954" w:type="pct"/>
          </w:tcPr>
          <w:p w14:paraId="5D7E07FC">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投标人灾备中心具备完善的数据、系统容灾措施，当灾害发生时系统可及时切换继续正常工作的；并保证数据无损的，得3分。</w:t>
            </w:r>
          </w:p>
        </w:tc>
      </w:tr>
      <w:tr w14:paraId="5DB5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continue"/>
            <w:tcBorders>
              <w:left w:val="single" w:color="auto" w:sz="4" w:space="0"/>
              <w:bottom w:val="single" w:color="auto" w:sz="4" w:space="0"/>
              <w:right w:val="single" w:color="auto" w:sz="4" w:space="0"/>
            </w:tcBorders>
            <w:vAlign w:val="center"/>
          </w:tcPr>
          <w:p w14:paraId="40FFC87F">
            <w:pPr>
              <w:spacing w:after="0" w:line="360" w:lineRule="exact"/>
              <w:rPr>
                <w:rFonts w:ascii="仿宋" w:hAnsi="仿宋" w:eastAsia="仿宋"/>
                <w:bCs/>
                <w:color w:val="000000" w:themeColor="text1"/>
                <w:sz w:val="24"/>
                <w14:textFill>
                  <w14:solidFill>
                    <w14:schemeClr w14:val="tx1"/>
                  </w14:solidFill>
                </w14:textFill>
              </w:rPr>
            </w:pPr>
          </w:p>
        </w:tc>
        <w:tc>
          <w:tcPr>
            <w:tcW w:w="1281" w:type="pct"/>
            <w:vMerge w:val="continue"/>
            <w:tcBorders>
              <w:left w:val="single" w:color="auto" w:sz="4" w:space="0"/>
              <w:bottom w:val="single" w:color="auto" w:sz="4" w:space="0"/>
              <w:right w:val="single" w:color="auto" w:sz="4" w:space="0"/>
            </w:tcBorders>
            <w:vAlign w:val="center"/>
          </w:tcPr>
          <w:p w14:paraId="2FBB7D3D">
            <w:pPr>
              <w:spacing w:after="0" w:line="360" w:lineRule="exact"/>
              <w:rPr>
                <w:rFonts w:ascii="仿宋" w:hAnsi="仿宋" w:eastAsia="仿宋"/>
                <w:bCs/>
                <w:color w:val="000000" w:themeColor="text1"/>
                <w:sz w:val="24"/>
                <w14:textFill>
                  <w14:solidFill>
                    <w14:schemeClr w14:val="tx1"/>
                  </w14:solidFill>
                </w14:textFill>
              </w:rPr>
            </w:pPr>
          </w:p>
        </w:tc>
        <w:tc>
          <w:tcPr>
            <w:tcW w:w="2954" w:type="pct"/>
          </w:tcPr>
          <w:p w14:paraId="7CE446B4">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投标人拥有两地（含）以上的同步灾备中心的，得3分。</w:t>
            </w:r>
          </w:p>
          <w:p w14:paraId="5C796EC9">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 xml:space="preserve">投标人拥有一地多个同步灾备中心的，得2分。 </w:t>
            </w:r>
          </w:p>
          <w:p w14:paraId="46C0637A">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投标人拥有一地一个同步灾备中心，得1分。</w:t>
            </w:r>
          </w:p>
        </w:tc>
      </w:tr>
      <w:tr w14:paraId="70CB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restart"/>
            <w:tcBorders>
              <w:top w:val="single" w:color="auto" w:sz="4" w:space="0"/>
              <w:left w:val="single" w:color="auto" w:sz="4" w:space="0"/>
              <w:right w:val="single" w:color="auto" w:sz="4" w:space="0"/>
            </w:tcBorders>
            <w:vAlign w:val="center"/>
          </w:tcPr>
          <w:p w14:paraId="45D01DC0">
            <w:pPr>
              <w:spacing w:after="0" w:line="360" w:lineRule="exact"/>
              <w:rPr>
                <w:rFonts w:ascii="仿宋" w:hAnsi="仿宋" w:eastAsia="仿宋"/>
                <w:bCs/>
                <w:color w:val="000000" w:themeColor="text1"/>
                <w:sz w:val="24"/>
                <w14:textFill>
                  <w14:solidFill>
                    <w14:schemeClr w14:val="tx1"/>
                  </w14:solidFill>
                </w14:textFill>
              </w:rPr>
            </w:pPr>
            <w:bookmarkStart w:id="108" w:name="_Hlk215827960"/>
            <w:r>
              <w:rPr>
                <w:rFonts w:hint="eastAsia" w:ascii="仿宋" w:hAnsi="仿宋" w:eastAsia="仿宋"/>
                <w:bCs/>
                <w:color w:val="000000" w:themeColor="text1"/>
                <w:sz w:val="24"/>
                <w14:textFill>
                  <w14:solidFill>
                    <w14:schemeClr w14:val="tx1"/>
                  </w14:solidFill>
                </w14:textFill>
              </w:rPr>
              <w:t>拟采用集合计划（7分）</w:t>
            </w:r>
          </w:p>
        </w:tc>
        <w:tc>
          <w:tcPr>
            <w:tcW w:w="1281" w:type="pct"/>
            <w:tcBorders>
              <w:top w:val="single" w:color="auto" w:sz="4" w:space="0"/>
              <w:left w:val="single" w:color="auto" w:sz="4" w:space="0"/>
              <w:bottom w:val="single" w:color="auto" w:sz="4" w:space="0"/>
              <w:right w:val="single" w:color="auto" w:sz="4" w:space="0"/>
            </w:tcBorders>
            <w:vAlign w:val="center"/>
          </w:tcPr>
          <w:p w14:paraId="5C12310E">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计划定位策略（3分）</w:t>
            </w:r>
          </w:p>
        </w:tc>
        <w:tc>
          <w:tcPr>
            <w:tcW w:w="2954" w:type="pct"/>
            <w:tcBorders>
              <w:top w:val="single" w:color="auto" w:sz="4" w:space="0"/>
              <w:left w:val="single" w:color="auto" w:sz="4" w:space="0"/>
              <w:bottom w:val="single" w:color="auto" w:sz="4" w:space="0"/>
              <w:right w:val="single" w:color="auto" w:sz="4" w:space="0"/>
            </w:tcBorders>
          </w:tcPr>
          <w:p w14:paraId="268D266B">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集合计划整体定位、投资策略稳健的，得3分。</w:t>
            </w:r>
          </w:p>
          <w:p w14:paraId="1007B044">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集合计划整体定位、投资策略保守、谨慎的，得2分。</w:t>
            </w:r>
          </w:p>
          <w:p w14:paraId="40F0CBEA">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集合计划整体定位积极、激进的，得1分。</w:t>
            </w:r>
          </w:p>
        </w:tc>
      </w:tr>
      <w:tr w14:paraId="7E8B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Merge w:val="continue"/>
            <w:tcBorders>
              <w:left w:val="single" w:color="auto" w:sz="4" w:space="0"/>
              <w:bottom w:val="single" w:color="auto" w:sz="4" w:space="0"/>
              <w:right w:val="single" w:color="auto" w:sz="4" w:space="0"/>
            </w:tcBorders>
            <w:vAlign w:val="center"/>
          </w:tcPr>
          <w:p w14:paraId="3509B48B">
            <w:pPr>
              <w:spacing w:after="0" w:line="360" w:lineRule="exact"/>
              <w:rPr>
                <w:rFonts w:ascii="仿宋" w:hAnsi="仿宋" w:eastAsia="仿宋"/>
                <w:bCs/>
                <w:color w:val="000000" w:themeColor="text1"/>
                <w:sz w:val="24"/>
                <w14:textFill>
                  <w14:solidFill>
                    <w14:schemeClr w14:val="tx1"/>
                  </w14:solidFill>
                </w14:textFill>
              </w:rPr>
            </w:pPr>
          </w:p>
        </w:tc>
        <w:tc>
          <w:tcPr>
            <w:tcW w:w="1281" w:type="pct"/>
            <w:tcBorders>
              <w:top w:val="single" w:color="auto" w:sz="4" w:space="0"/>
              <w:left w:val="single" w:color="auto" w:sz="4" w:space="0"/>
              <w:bottom w:val="single" w:color="auto" w:sz="4" w:space="0"/>
              <w:right w:val="single" w:color="auto" w:sz="4" w:space="0"/>
            </w:tcBorders>
            <w:vAlign w:val="center"/>
          </w:tcPr>
          <w:p w14:paraId="505FF929">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投资组合（4分）</w:t>
            </w:r>
          </w:p>
        </w:tc>
        <w:tc>
          <w:tcPr>
            <w:tcW w:w="2954" w:type="pct"/>
            <w:tcBorders>
              <w:top w:val="single" w:color="auto" w:sz="4" w:space="0"/>
              <w:left w:val="single" w:color="auto" w:sz="4" w:space="0"/>
              <w:bottom w:val="single" w:color="auto" w:sz="4" w:space="0"/>
              <w:right w:val="single" w:color="auto" w:sz="4" w:space="0"/>
            </w:tcBorders>
          </w:tcPr>
          <w:p w14:paraId="28AFC112">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集合计划中提供大于三种可选投资组合的，得4分。</w:t>
            </w:r>
          </w:p>
          <w:p w14:paraId="798EA40E">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集合计划中提供三种可选投资组合的，得3分。</w:t>
            </w:r>
          </w:p>
          <w:p w14:paraId="7038A917">
            <w:pPr>
              <w:spacing w:after="0" w:line="360" w:lineRule="exact"/>
              <w:rPr>
                <w:rFonts w:ascii="宋体" w:hAnsi="宋体"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集合计划中提供两种可选投资组合的，得2分。</w:t>
            </w:r>
          </w:p>
          <w:p w14:paraId="0CE66A5F">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集合计划中投资组合固定的，得1分。</w:t>
            </w:r>
          </w:p>
        </w:tc>
      </w:tr>
      <w:bookmarkEnd w:id="108"/>
      <w:tr w14:paraId="56C7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6" w:type="pct"/>
            <w:gridSpan w:val="2"/>
            <w:tcBorders>
              <w:top w:val="single" w:color="auto" w:sz="4" w:space="0"/>
              <w:left w:val="single" w:color="auto" w:sz="4" w:space="0"/>
              <w:bottom w:val="single" w:color="auto" w:sz="4" w:space="0"/>
              <w:right w:val="single" w:color="auto" w:sz="4" w:space="0"/>
            </w:tcBorders>
            <w:vAlign w:val="center"/>
          </w:tcPr>
          <w:p w14:paraId="6F6D93C5">
            <w:pPr>
              <w:spacing w:after="0" w:line="360" w:lineRule="exact"/>
              <w:rPr>
                <w:rFonts w:ascii="仿宋" w:hAnsi="仿宋" w:eastAsia="仿宋"/>
                <w:bCs/>
                <w:color w:val="000000" w:themeColor="text1"/>
                <w:sz w:val="24"/>
                <w14:textFill>
                  <w14:solidFill>
                    <w14:schemeClr w14:val="tx1"/>
                  </w14:solidFill>
                </w14:textFill>
              </w:rPr>
            </w:pPr>
            <w:bookmarkStart w:id="109" w:name="_Hlk215828057"/>
            <w:r>
              <w:rPr>
                <w:rFonts w:hint="eastAsia" w:ascii="宋体" w:hAnsi="宋体" w:eastAsia="仿宋"/>
                <w:bCs/>
                <w:color w:val="000000" w:themeColor="text1"/>
                <w:sz w:val="24"/>
                <w14:textFill>
                  <w14:solidFill>
                    <w14:schemeClr w14:val="tx1"/>
                  </w14:solidFill>
                </w14:textFill>
              </w:rPr>
              <w:t>配套及其他增值服务（3分）</w:t>
            </w:r>
          </w:p>
        </w:tc>
        <w:tc>
          <w:tcPr>
            <w:tcW w:w="2954" w:type="pct"/>
            <w:tcBorders>
              <w:top w:val="single" w:color="auto" w:sz="4" w:space="0"/>
              <w:left w:val="single" w:color="auto" w:sz="4" w:space="0"/>
              <w:bottom w:val="single" w:color="auto" w:sz="4" w:space="0"/>
              <w:right w:val="single" w:color="auto" w:sz="4" w:space="0"/>
            </w:tcBorders>
          </w:tcPr>
          <w:p w14:paraId="59CADE88">
            <w:pPr>
              <w:spacing w:after="0" w:line="360" w:lineRule="exact"/>
              <w:rPr>
                <w:rFonts w:ascii="仿宋" w:hAnsi="仿宋" w:eastAsia="仿宋"/>
                <w:bCs/>
                <w:color w:val="000000" w:themeColor="text1"/>
                <w:sz w:val="24"/>
                <w14:textFill>
                  <w14:solidFill>
                    <w14:schemeClr w14:val="tx1"/>
                  </w14:solidFill>
                </w14:textFill>
              </w:rPr>
            </w:pPr>
            <w:r>
              <w:rPr>
                <w:rFonts w:hint="eastAsia" w:ascii="宋体" w:hAnsi="宋体" w:eastAsia="仿宋"/>
                <w:bCs/>
                <w:color w:val="000000" w:themeColor="text1"/>
                <w:sz w:val="24"/>
                <w14:textFill>
                  <w14:solidFill>
                    <w14:schemeClr w14:val="tx1"/>
                  </w14:solidFill>
                </w14:textFill>
              </w:rPr>
              <w:t>投标人提与本项目采购标的相关的额外服务，每提供一项得1分。</w:t>
            </w:r>
          </w:p>
        </w:tc>
      </w:tr>
      <w:bookmarkEnd w:id="109"/>
    </w:tbl>
    <w:p w14:paraId="54B0AD6B">
      <w:pPr>
        <w:widowControl/>
        <w:rPr>
          <w:rFonts w:ascii="宋体" w:hAnsi="宋体" w:eastAsia="仿宋"/>
          <w:b/>
          <w:bCs/>
          <w:color w:val="000000" w:themeColor="text1"/>
          <w:sz w:val="24"/>
          <w14:textFill>
            <w14:solidFill>
              <w14:schemeClr w14:val="tx1"/>
            </w14:solidFill>
          </w14:textFill>
        </w:rPr>
      </w:pPr>
    </w:p>
    <w:p w14:paraId="1510B75B">
      <w:pPr>
        <w:widowControl/>
        <w:rPr>
          <w:rFonts w:eastAsia="黑体" w:asciiTheme="majorHAnsi" w:hAnsiTheme="majorHAnsi" w:cstheme="majorBidi"/>
          <w:sz w:val="32"/>
          <w:szCs w:val="48"/>
        </w:rPr>
      </w:pPr>
      <w:bookmarkStart w:id="110" w:name="_Toc204689934"/>
      <w:r>
        <w:br w:type="page"/>
      </w:r>
    </w:p>
    <w:p w14:paraId="21E7B342">
      <w:pPr>
        <w:pStyle w:val="2"/>
      </w:pPr>
      <w:r>
        <w:rPr>
          <w:rFonts w:hint="eastAsia"/>
        </w:rPr>
        <w:t xml:space="preserve">第四章 </w:t>
      </w:r>
      <w:r>
        <w:t xml:space="preserve"> </w:t>
      </w:r>
      <w:r>
        <w:rPr>
          <w:rFonts w:hint="eastAsia"/>
        </w:rPr>
        <w:t>合同条款及格式</w:t>
      </w:r>
      <w:bookmarkEnd w:id="110"/>
    </w:p>
    <w:p w14:paraId="24F7AC44">
      <w:pPr>
        <w:pStyle w:val="16"/>
        <w:ind w:left="1680"/>
        <w:rPr>
          <w:rFonts w:ascii="宋体" w:hAnsi="宋体" w:eastAsia="仿宋"/>
          <w:b/>
          <w:bCs/>
          <w:color w:val="000000" w:themeColor="text1"/>
          <w:sz w:val="24"/>
          <w14:textFill>
            <w14:solidFill>
              <w14:schemeClr w14:val="tx1"/>
            </w14:solidFill>
          </w14:textFill>
        </w:rPr>
      </w:pPr>
    </w:p>
    <w:p w14:paraId="4C986666">
      <w:pPr>
        <w:pStyle w:val="16"/>
        <w:ind w:left="1680"/>
        <w:rPr>
          <w:rFonts w:ascii="宋体" w:hAnsi="宋体" w:eastAsia="仿宋"/>
          <w:b/>
          <w:bCs/>
          <w:color w:val="000000" w:themeColor="text1"/>
          <w:sz w:val="24"/>
          <w14:textFill>
            <w14:solidFill>
              <w14:schemeClr w14:val="tx1"/>
            </w14:solidFill>
          </w14:textFill>
        </w:rPr>
      </w:pPr>
    </w:p>
    <w:p w14:paraId="0D9D2BA7">
      <w:pPr>
        <w:pStyle w:val="16"/>
        <w:ind w:left="1680"/>
        <w:rPr>
          <w:rFonts w:ascii="宋体" w:hAnsi="宋体" w:eastAsia="仿宋"/>
          <w:b/>
          <w:bCs/>
          <w:color w:val="000000" w:themeColor="text1"/>
          <w:sz w:val="24"/>
          <w14:textFill>
            <w14:solidFill>
              <w14:schemeClr w14:val="tx1"/>
            </w14:solidFill>
          </w14:textFill>
        </w:rPr>
      </w:pPr>
      <w:bookmarkStart w:id="111" w:name="OLE_LINK28"/>
      <w:bookmarkStart w:id="112" w:name="OLE_LINK29"/>
    </w:p>
    <w:p w14:paraId="61A05BEA">
      <w:pPr>
        <w:pStyle w:val="16"/>
        <w:spacing w:line="360" w:lineRule="auto"/>
        <w:ind w:left="0"/>
        <w:jc w:val="center"/>
        <w:rPr>
          <w:rFonts w:ascii="黑体" w:hAnsi="黑体" w:eastAsia="黑体"/>
          <w:bCs/>
          <w:color w:val="000000" w:themeColor="text1"/>
          <w:sz w:val="36"/>
          <w:szCs w:val="36"/>
          <w14:textFill>
            <w14:solidFill>
              <w14:schemeClr w14:val="tx1"/>
            </w14:solidFill>
          </w14:textFill>
        </w:rPr>
      </w:pPr>
      <w:r>
        <w:rPr>
          <w:rFonts w:hint="eastAsia" w:ascii="黑体" w:hAnsi="黑体" w:eastAsia="黑体"/>
          <w:bCs/>
          <w:color w:val="000000" w:themeColor="text1"/>
          <w:sz w:val="36"/>
          <w:szCs w:val="36"/>
          <w14:textFill>
            <w14:solidFill>
              <w14:schemeClr w14:val="tx1"/>
            </w14:solidFill>
          </w14:textFill>
        </w:rPr>
        <w:t>企业年金计划受托管理合同指引</w:t>
      </w:r>
    </w:p>
    <w:p w14:paraId="5FF30D54">
      <w:pPr>
        <w:pStyle w:val="16"/>
        <w:ind w:left="1680"/>
        <w:rPr>
          <w:rFonts w:ascii="宋体" w:hAnsi="宋体" w:eastAsia="仿宋"/>
          <w:b/>
          <w:bCs/>
          <w:color w:val="000000" w:themeColor="text1"/>
          <w:sz w:val="36"/>
          <w:szCs w:val="36"/>
          <w14:textFill>
            <w14:solidFill>
              <w14:schemeClr w14:val="tx1"/>
            </w14:solidFill>
          </w14:textFill>
        </w:rPr>
      </w:pPr>
    </w:p>
    <w:p w14:paraId="0A5329E2">
      <w:pPr>
        <w:pStyle w:val="16"/>
        <w:ind w:left="1680"/>
        <w:rPr>
          <w:rFonts w:ascii="宋体" w:hAnsi="宋体" w:eastAsia="仿宋"/>
          <w:b/>
          <w:bCs/>
          <w:color w:val="000000" w:themeColor="text1"/>
          <w:sz w:val="36"/>
          <w:szCs w:val="36"/>
          <w14:textFill>
            <w14:solidFill>
              <w14:schemeClr w14:val="tx1"/>
            </w14:solidFill>
          </w14:textFill>
        </w:rPr>
      </w:pPr>
    </w:p>
    <w:p w14:paraId="337A78D4">
      <w:pPr>
        <w:pStyle w:val="16"/>
        <w:ind w:left="1680"/>
        <w:rPr>
          <w:rFonts w:ascii="宋体" w:hAnsi="宋体" w:eastAsia="仿宋"/>
          <w:b/>
          <w:bCs/>
          <w:color w:val="000000" w:themeColor="text1"/>
          <w:sz w:val="36"/>
          <w:szCs w:val="36"/>
          <w14:textFill>
            <w14:solidFill>
              <w14:schemeClr w14:val="tx1"/>
            </w14:solidFill>
          </w14:textFill>
        </w:rPr>
      </w:pPr>
    </w:p>
    <w:p w14:paraId="7C7A198E">
      <w:pPr>
        <w:pStyle w:val="16"/>
        <w:ind w:left="1680"/>
        <w:rPr>
          <w:rFonts w:ascii="宋体" w:hAnsi="宋体" w:eastAsia="仿宋"/>
          <w:b/>
          <w:bCs/>
          <w:color w:val="000000" w:themeColor="text1"/>
          <w:sz w:val="36"/>
          <w:szCs w:val="36"/>
          <w14:textFill>
            <w14:solidFill>
              <w14:schemeClr w14:val="tx1"/>
            </w14:solidFill>
          </w14:textFill>
        </w:rPr>
      </w:pPr>
    </w:p>
    <w:p w14:paraId="733353CB">
      <w:pPr>
        <w:pStyle w:val="16"/>
        <w:ind w:left="1680"/>
        <w:rPr>
          <w:rFonts w:ascii="宋体" w:hAnsi="宋体" w:eastAsia="仿宋"/>
          <w:b/>
          <w:bCs/>
          <w:color w:val="000000" w:themeColor="text1"/>
          <w:sz w:val="36"/>
          <w:szCs w:val="36"/>
          <w14:textFill>
            <w14:solidFill>
              <w14:schemeClr w14:val="tx1"/>
            </w14:solidFill>
          </w14:textFill>
        </w:rPr>
      </w:pPr>
    </w:p>
    <w:p w14:paraId="132292A7">
      <w:pPr>
        <w:pStyle w:val="16"/>
        <w:spacing w:line="360" w:lineRule="auto"/>
        <w:ind w:left="1680"/>
        <w:rPr>
          <w:rFonts w:ascii="宋体" w:hAnsi="宋体" w:eastAsia="仿宋"/>
          <w:b/>
          <w:bCs/>
          <w:color w:val="000000" w:themeColor="text1"/>
          <w:sz w:val="36"/>
          <w:szCs w:val="36"/>
          <w14:textFill>
            <w14:solidFill>
              <w14:schemeClr w14:val="tx1"/>
            </w14:solidFill>
          </w14:textFill>
        </w:rPr>
      </w:pPr>
      <w:r>
        <w:rPr>
          <w:rFonts w:hint="eastAsia" w:ascii="宋体" w:hAnsi="宋体" w:eastAsia="仿宋"/>
          <w:b/>
          <w:bCs/>
          <w:color w:val="000000" w:themeColor="text1"/>
          <w:sz w:val="36"/>
          <w:szCs w:val="36"/>
          <w14:textFill>
            <w14:solidFill>
              <w14:schemeClr w14:val="tx1"/>
            </w14:solidFill>
          </w14:textFill>
        </w:rPr>
        <w:t>合同编号：</w:t>
      </w:r>
    </w:p>
    <w:p w14:paraId="3060C68B">
      <w:pPr>
        <w:pStyle w:val="16"/>
        <w:spacing w:line="360" w:lineRule="auto"/>
        <w:ind w:left="1680"/>
        <w:rPr>
          <w:rFonts w:ascii="宋体" w:hAnsi="宋体" w:eastAsia="仿宋"/>
          <w:b/>
          <w:bCs/>
          <w:color w:val="000000" w:themeColor="text1"/>
          <w:sz w:val="36"/>
          <w:szCs w:val="36"/>
          <w14:textFill>
            <w14:solidFill>
              <w14:schemeClr w14:val="tx1"/>
            </w14:solidFill>
          </w14:textFill>
        </w:rPr>
      </w:pPr>
      <w:r>
        <w:rPr>
          <w:rFonts w:hint="eastAsia" w:ascii="宋体" w:hAnsi="宋体" w:eastAsia="仿宋"/>
          <w:b/>
          <w:bCs/>
          <w:color w:val="000000" w:themeColor="text1"/>
          <w:sz w:val="36"/>
          <w:szCs w:val="36"/>
          <w14:textFill>
            <w14:solidFill>
              <w14:schemeClr w14:val="tx1"/>
            </w14:solidFill>
          </w14:textFill>
        </w:rPr>
        <w:t>委 托 人：</w:t>
      </w:r>
    </w:p>
    <w:p w14:paraId="0BAD8CFA">
      <w:pPr>
        <w:pStyle w:val="16"/>
        <w:spacing w:line="360" w:lineRule="auto"/>
        <w:ind w:left="1680"/>
        <w:rPr>
          <w:rFonts w:ascii="宋体" w:hAnsi="宋体" w:eastAsia="仿宋"/>
          <w:b/>
          <w:bCs/>
          <w:color w:val="000000" w:themeColor="text1"/>
          <w:sz w:val="36"/>
          <w:szCs w:val="36"/>
          <w14:textFill>
            <w14:solidFill>
              <w14:schemeClr w14:val="tx1"/>
            </w14:solidFill>
          </w14:textFill>
        </w:rPr>
      </w:pPr>
      <w:r>
        <w:rPr>
          <w:rFonts w:hint="eastAsia" w:ascii="宋体" w:hAnsi="宋体" w:eastAsia="仿宋"/>
          <w:b/>
          <w:bCs/>
          <w:color w:val="000000" w:themeColor="text1"/>
          <w:sz w:val="36"/>
          <w:szCs w:val="36"/>
          <w14:textFill>
            <w14:solidFill>
              <w14:schemeClr w14:val="tx1"/>
            </w14:solidFill>
          </w14:textFill>
        </w:rPr>
        <w:t>受 托 人：</w:t>
      </w:r>
    </w:p>
    <w:p w14:paraId="1C061B6E">
      <w:pPr>
        <w:pStyle w:val="16"/>
        <w:spacing w:line="360" w:lineRule="auto"/>
        <w:ind w:left="1680"/>
        <w:rPr>
          <w:rFonts w:ascii="宋体" w:hAnsi="宋体" w:eastAsia="仿宋"/>
          <w:b/>
          <w:bCs/>
          <w:color w:val="000000" w:themeColor="text1"/>
          <w:sz w:val="36"/>
          <w:szCs w:val="36"/>
          <w14:textFill>
            <w14:solidFill>
              <w14:schemeClr w14:val="tx1"/>
            </w14:solidFill>
          </w14:textFill>
        </w:rPr>
      </w:pPr>
      <w:r>
        <w:rPr>
          <w:rFonts w:hint="eastAsia" w:ascii="宋体" w:hAnsi="宋体" w:eastAsia="仿宋"/>
          <w:b/>
          <w:bCs/>
          <w:color w:val="000000" w:themeColor="text1"/>
          <w:sz w:val="36"/>
          <w:szCs w:val="36"/>
          <w14:textFill>
            <w14:solidFill>
              <w14:schemeClr w14:val="tx1"/>
            </w14:solidFill>
          </w14:textFill>
        </w:rPr>
        <w:t>签署时间：</w:t>
      </w:r>
    </w:p>
    <w:p w14:paraId="3156FED0">
      <w:pPr>
        <w:pStyle w:val="16"/>
        <w:spacing w:line="360" w:lineRule="auto"/>
        <w:ind w:left="1680"/>
        <w:rPr>
          <w:rFonts w:ascii="宋体" w:hAnsi="宋体" w:eastAsia="仿宋"/>
          <w:b/>
          <w:bCs/>
          <w:color w:val="000000" w:themeColor="text1"/>
          <w:sz w:val="24"/>
          <w14:textFill>
            <w14:solidFill>
              <w14:schemeClr w14:val="tx1"/>
            </w14:solidFill>
          </w14:textFill>
        </w:rPr>
      </w:pPr>
    </w:p>
    <w:p w14:paraId="717A3FB6">
      <w:pPr>
        <w:pStyle w:val="16"/>
        <w:numPr>
          <w:ilvl w:val="0"/>
          <w:numId w:val="4"/>
        </w:numPr>
        <w:spacing w:line="360" w:lineRule="auto"/>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79EB1443">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甲　　方：（企业名称）</w:t>
      </w:r>
    </w:p>
    <w:p w14:paraId="4A7544F3">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联系地址：</w:t>
      </w:r>
    </w:p>
    <w:p w14:paraId="0FE30CCD">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邮政编码：</w:t>
      </w:r>
    </w:p>
    <w:p w14:paraId="146EC4E1">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电　　话：</w:t>
      </w:r>
    </w:p>
    <w:p w14:paraId="7883AC40">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传　　真：</w:t>
      </w:r>
    </w:p>
    <w:p w14:paraId="6E73FC26">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法定代表人：</w:t>
      </w:r>
    </w:p>
    <w:p w14:paraId="729D2308">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企业年金方案备案文号：</w:t>
      </w:r>
    </w:p>
    <w:p w14:paraId="1155D309">
      <w:pPr>
        <w:pStyle w:val="16"/>
        <w:spacing w:line="360" w:lineRule="auto"/>
        <w:ind w:left="1680"/>
        <w:rPr>
          <w:rFonts w:ascii="宋体" w:hAnsi="宋体" w:eastAsia="仿宋"/>
          <w:b/>
          <w:bCs/>
          <w:color w:val="000000" w:themeColor="text1"/>
          <w:sz w:val="28"/>
          <w:szCs w:val="28"/>
          <w14:textFill>
            <w14:solidFill>
              <w14:schemeClr w14:val="tx1"/>
            </w14:solidFill>
          </w14:textFill>
        </w:rPr>
      </w:pPr>
    </w:p>
    <w:p w14:paraId="248DADC1">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乙    方：</w:t>
      </w:r>
    </w:p>
    <w:p w14:paraId="6A4F8267">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联系地址：</w:t>
      </w:r>
    </w:p>
    <w:p w14:paraId="074A9997">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邮政编码：</w:t>
      </w:r>
    </w:p>
    <w:p w14:paraId="53F2E61C">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电    话：</w:t>
      </w:r>
    </w:p>
    <w:p w14:paraId="2872991D">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传    真：</w:t>
      </w:r>
    </w:p>
    <w:p w14:paraId="4F68B850">
      <w:pPr>
        <w:pStyle w:val="16"/>
        <w:spacing w:line="360" w:lineRule="auto"/>
        <w:ind w:left="1680"/>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法定代表人：</w:t>
      </w:r>
    </w:p>
    <w:p w14:paraId="7F73B98A">
      <w:pPr>
        <w:pStyle w:val="16"/>
        <w:spacing w:line="360" w:lineRule="auto"/>
        <w:ind w:left="1680"/>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企业年金基金管理机构资格证书编号：</w:t>
      </w:r>
    </w:p>
    <w:p w14:paraId="15A1D33A">
      <w:pPr>
        <w:pStyle w:val="16"/>
        <w:spacing w:line="360" w:lineRule="auto"/>
        <w:ind w:left="2940" w:firstLine="420"/>
        <w:rPr>
          <w:rFonts w:ascii="宋体" w:hAnsi="宋体" w:eastAsia="仿宋"/>
          <w:b/>
          <w:bCs/>
          <w:color w:val="000000" w:themeColor="text1"/>
          <w:sz w:val="24"/>
          <w14:textFill>
            <w14:solidFill>
              <w14:schemeClr w14:val="tx1"/>
            </w14:solidFill>
          </w14:textFill>
        </w:rPr>
      </w:pPr>
      <w:r>
        <w:rPr>
          <w:rFonts w:ascii="宋体" w:hAnsi="宋体" w:eastAsia="仿宋"/>
          <w:b/>
          <w:bCs/>
          <w:color w:val="000000" w:themeColor="text1"/>
          <w:sz w:val="24"/>
          <w14:textFill>
            <w14:solidFill>
              <w14:schemeClr w14:val="tx1"/>
            </w14:solidFill>
          </w14:textFill>
        </w:rPr>
        <w:br w:type="page"/>
      </w:r>
      <w:r>
        <w:rPr>
          <w:rFonts w:hint="eastAsia" w:ascii="宋体" w:hAnsi="宋体" w:eastAsia="仿宋"/>
          <w:b/>
          <w:bCs/>
          <w:color w:val="000000" w:themeColor="text1"/>
          <w:sz w:val="24"/>
          <w14:textFill>
            <w14:solidFill>
              <w14:schemeClr w14:val="tx1"/>
            </w14:solidFill>
          </w14:textFill>
        </w:rPr>
        <w:t>目    录</w:t>
      </w:r>
    </w:p>
    <w:p w14:paraId="7C3127B7">
      <w:pPr>
        <w:pStyle w:val="16"/>
        <w:spacing w:line="360" w:lineRule="auto"/>
        <w:ind w:left="1680"/>
        <w:rPr>
          <w:rFonts w:ascii="宋体" w:hAnsi="宋体" w:eastAsia="仿宋"/>
          <w:b/>
          <w:bCs/>
          <w:color w:val="000000" w:themeColor="text1"/>
          <w:sz w:val="24"/>
          <w14:textFill>
            <w14:solidFill>
              <w14:schemeClr w14:val="tx1"/>
            </w14:solidFill>
          </w14:textFill>
        </w:rPr>
      </w:pPr>
    </w:p>
    <w:p w14:paraId="04CD9AE9">
      <w:pPr>
        <w:pStyle w:val="11"/>
        <w:rPr>
          <w:rFonts w:ascii="宋体" w:hAnsi="宋体" w:eastAsia="仿宋" w:cstheme="minorBidi"/>
          <w:b/>
          <w:bCs/>
          <w:color w:val="000000" w:themeColor="text1"/>
          <w14:textFill>
            <w14:solidFill>
              <w14:schemeClr w14:val="tx1"/>
            </w14:solidFill>
          </w14:textFill>
          <w14:ligatures w14:val="standardContextual"/>
        </w:rPr>
      </w:pPr>
      <w:r>
        <w:rPr>
          <w:rFonts w:hint="eastAsia" w:ascii="宋体" w:hAnsi="宋体" w:eastAsia="仿宋" w:cstheme="minorBidi"/>
          <w:b/>
          <w:bCs/>
          <w:color w:val="000000" w:themeColor="text1"/>
          <w14:textFill>
            <w14:solidFill>
              <w14:schemeClr w14:val="tx1"/>
            </w14:solidFill>
          </w14:textFill>
          <w14:ligatures w14:val="standardContextual"/>
        </w:rPr>
        <w:fldChar w:fldCharType="begin"/>
      </w:r>
      <w:r>
        <w:rPr>
          <w:rFonts w:hint="eastAsia" w:ascii="宋体" w:hAnsi="宋体" w:eastAsia="仿宋" w:cstheme="minorBidi"/>
          <w:b/>
          <w:bCs/>
          <w:color w:val="000000" w:themeColor="text1"/>
          <w14:textFill>
            <w14:solidFill>
              <w14:schemeClr w14:val="tx1"/>
            </w14:solidFill>
          </w14:textFill>
          <w14:ligatures w14:val="standardContextual"/>
        </w:rPr>
        <w:instrText xml:space="preserve"> TOC \o "1-3" \h \z \u </w:instrText>
      </w:r>
      <w:r>
        <w:rPr>
          <w:rFonts w:hint="eastAsia" w:ascii="宋体" w:hAnsi="宋体" w:eastAsia="仿宋" w:cstheme="minorBidi"/>
          <w:b/>
          <w:bCs/>
          <w:color w:val="000000" w:themeColor="text1"/>
          <w14:textFill>
            <w14:solidFill>
              <w14:schemeClr w14:val="tx1"/>
            </w14:solidFill>
          </w14:textFill>
          <w14:ligatures w14:val="standardContextual"/>
        </w:rPr>
        <w:fldChar w:fldCharType="separate"/>
      </w:r>
      <w:r>
        <w:fldChar w:fldCharType="begin"/>
      </w:r>
      <w:r>
        <w:instrText xml:space="preserve"> HYPERLINK "file:///C:\\Users\\psych\\AppData\\Local\\Temp\\Rar$DIa45800.21773\\20120315受托指引（印刷稿）.doc" \l "_Toc319932538"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前  言</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5EBC80D5">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"_Toc319932539"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第一章　定义</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00A76152">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"_Toc319932540"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第二章  声明与承诺</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304D3685">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"_Toc319932541"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第三章  受托的设立</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1D315AD8">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"_Toc319932542"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第四章  受托当事人的权利与义务</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0976DD3D">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"_Toc319932543"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第五章　企业年金基金的管理</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301210F1">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"_Toc319932544"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第六章  企业年金的缴费、领取、转移与保留</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4020A9FB">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"_Toc319932545"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第七章  投资政策</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4025DBC3">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"_Toc319932546"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第八章　投资管理风险准备金</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076C9445">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"_Toc319932547"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第九章  企业年金基金财产的核算</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6B80D908">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"_Toc319932548"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第十章  企业年金基金的费用</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4912EA10">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"_Toc319932549"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第十一章  企业年金基金的审计与清算</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75AA3FDA">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"_Toc319932550"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第十二章  企业年金基金的信息报告与披露</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1F607872">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"_Toc319932551"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第十三章  禁止行为</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52F976C5">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"_Toc319932552"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第十四章  违约责任与免责条款</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474E36BD">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"_Toc319932553"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第十五章  争议的处理</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1E96BBF7">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"_Toc319932554"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第十六章  本合同的生效、期限、变更与终止</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17B5BB44">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"_Toc319932555"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第十七章  保密条款</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31DDCC96">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"_Toc319932556"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第十八章  通知及送达</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24FE68C4">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"_Toc319932557"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第十九章  风险提示</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4F05EB9D">
      <w:pPr>
        <w:pStyle w:val="11"/>
        <w:rPr>
          <w:rFonts w:ascii="宋体" w:hAnsi="宋体" w:eastAsia="仿宋" w:cstheme="minorBidi"/>
          <w:b/>
          <w:bCs/>
          <w:color w:val="000000" w:themeColor="text1"/>
          <w14:textFill>
            <w14:solidFill>
              <w14:schemeClr w14:val="tx1"/>
            </w14:solidFill>
          </w14:textFill>
          <w14:ligatures w14:val="standardContextual"/>
        </w:rPr>
      </w:pPr>
      <w:r>
        <w:fldChar w:fldCharType="begin"/>
      </w:r>
      <w:r>
        <w:instrText xml:space="preserve"> HYPERLINK "file:///C:\\Users\\psych\\AppData\\Local\\Temp\\Rar$DIa45800.21773\\20120315受托指引（印刷稿）.doc" \l "_Toc319932558" </w:instrText>
      </w:r>
      <w:r>
        <w:fldChar w:fldCharType="separate"/>
      </w:r>
      <w:r>
        <w:rPr>
          <w:rFonts w:hint="eastAsia" w:ascii="宋体" w:hAnsi="宋体" w:cstheme="minorBidi"/>
          <w:b/>
          <w:bCs/>
          <w:color w:val="000000" w:themeColor="text1"/>
          <w14:textFill>
            <w14:solidFill>
              <w14:schemeClr w14:val="tx1"/>
            </w14:solidFill>
          </w14:textFill>
          <w14:ligatures w14:val="standardContextual"/>
        </w:rPr>
        <w:t>第二十章  其他事项</w:t>
      </w:r>
      <w:r>
        <w:rPr>
          <w:rFonts w:hint="eastAsia" w:ascii="宋体" w:hAnsi="宋体" w:cstheme="minorBidi"/>
          <w:b/>
          <w:bCs/>
          <w:color w:val="000000" w:themeColor="text1"/>
          <w14:textFill>
            <w14:solidFill>
              <w14:schemeClr w14:val="tx1"/>
            </w14:solidFill>
          </w14:textFill>
          <w14:ligatures w14:val="standardContextual"/>
        </w:rPr>
        <w:tab/>
      </w:r>
      <w:r>
        <w:rPr>
          <w:rFonts w:hint="eastAsia" w:ascii="宋体" w:hAnsi="宋体" w:cstheme="minorBidi"/>
          <w:b/>
          <w:bCs/>
          <w:color w:val="000000" w:themeColor="text1"/>
          <w14:textFill>
            <w14:solidFill>
              <w14:schemeClr w14:val="tx1"/>
            </w14:solidFill>
          </w14:textFill>
          <w14:ligatures w14:val="standardContextual"/>
        </w:rPr>
        <w:fldChar w:fldCharType="end"/>
      </w:r>
    </w:p>
    <w:p w14:paraId="312CB9A8">
      <w:pPr>
        <w:pStyle w:val="11"/>
        <w:ind w:left="1680"/>
        <w:rPr>
          <w:rFonts w:ascii="宋体" w:hAnsi="宋体" w:eastAsia="仿宋" w:cstheme="minorBidi"/>
          <w:b/>
          <w:bCs/>
          <w:color w:val="000000" w:themeColor="text1"/>
          <w14:textFill>
            <w14:solidFill>
              <w14:schemeClr w14:val="tx1"/>
            </w14:solidFill>
          </w14:textFill>
          <w14:ligatures w14:val="standardContextual"/>
        </w:rPr>
      </w:pPr>
      <w:r>
        <w:rPr>
          <w:rFonts w:hint="eastAsia" w:ascii="宋体" w:hAnsi="宋体" w:eastAsia="仿宋" w:cstheme="minorBidi"/>
          <w:b/>
          <w:bCs/>
          <w:color w:val="000000" w:themeColor="text1"/>
          <w14:textFill>
            <w14:solidFill>
              <w14:schemeClr w14:val="tx1"/>
            </w14:solidFill>
          </w14:textFill>
          <w14:ligatures w14:val="standardContextual"/>
        </w:rPr>
        <w:fldChar w:fldCharType="end"/>
      </w:r>
      <w:bookmarkStart w:id="113" w:name="_Toc178058115"/>
      <w:bookmarkStart w:id="114" w:name="_Toc196484062"/>
      <w:bookmarkStart w:id="115" w:name="_Toc196398438"/>
    </w:p>
    <w:p w14:paraId="1BDB30C9">
      <w:pPr>
        <w:pStyle w:val="16"/>
        <w:widowControl/>
        <w:numPr>
          <w:ilvl w:val="0"/>
          <w:numId w:val="4"/>
        </w:numPr>
        <w:spacing w:line="360" w:lineRule="auto"/>
        <w:rPr>
          <w:rFonts w:ascii="宋体" w:hAnsi="宋体" w:eastAsia="仿宋"/>
          <w:b/>
          <w:bCs/>
          <w:color w:val="000000" w:themeColor="text1"/>
          <w:sz w:val="24"/>
          <w14:textFill>
            <w14:solidFill>
              <w14:schemeClr w14:val="tx1"/>
            </w14:solidFill>
          </w14:textFill>
        </w:rPr>
        <w:sectPr>
          <w:footerReference r:id="rId6" w:type="default"/>
          <w:pgSz w:w="11906" w:h="16838"/>
          <w:pgMar w:top="1077" w:right="1797" w:bottom="1702" w:left="1797" w:header="851" w:footer="728" w:gutter="0"/>
          <w:pgNumType w:start="1"/>
          <w:cols w:space="720" w:num="1"/>
          <w:docGrid w:type="lines" w:linePitch="312" w:charSpace="0"/>
        </w:sectPr>
      </w:pPr>
    </w:p>
    <w:p w14:paraId="42EB3ED3">
      <w:pPr>
        <w:pStyle w:val="3"/>
        <w:ind w:firstLine="0" w:firstLineChars="0"/>
        <w:jc w:val="center"/>
        <w:rPr>
          <w:rFonts w:ascii="仿宋" w:hAnsi="仿宋" w:cstheme="minorBidi"/>
          <w:b w:val="0"/>
          <w:bCs/>
          <w:szCs w:val="28"/>
        </w:rPr>
      </w:pPr>
      <w:bookmarkStart w:id="116" w:name="_Toc319932538"/>
      <w:bookmarkStart w:id="117" w:name="_Toc311040980"/>
      <w:bookmarkStart w:id="118" w:name="_Toc204689935"/>
      <w:bookmarkStart w:id="119" w:name="OLE_LINK24"/>
      <w:bookmarkStart w:id="120" w:name="OLE_LINK23"/>
      <w:r>
        <w:rPr>
          <w:rFonts w:hint="eastAsia" w:ascii="仿宋" w:hAnsi="仿宋" w:cstheme="minorBidi"/>
          <w:b w:val="0"/>
          <w:bCs/>
          <w:szCs w:val="28"/>
        </w:rPr>
        <w:t>前  言</w:t>
      </w:r>
      <w:bookmarkEnd w:id="116"/>
      <w:bookmarkEnd w:id="117"/>
      <w:bookmarkEnd w:id="118"/>
    </w:p>
    <w:p w14:paraId="55D5FA2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为规范企业年金基金的运作，维护甲乙双方及受益人的合法权益，明确甲乙双方的权利义务，依据《中华人民共和国信托法》、《中华人民共和国合同法》、《企业年金试行办法》（劳动和社会保障部令第20号）、《企业年金基金管理办法》（人力资源和社会保障部令第11号）等法律法规规定及甲方企业年金方案，在平等自愿和诚实信用的基础上，甲乙双方签订《企业年金计划受托管理合同》（以下简称“本合同”）。</w:t>
      </w:r>
    </w:p>
    <w:p w14:paraId="0CEA40F3">
      <w:pPr>
        <w:pStyle w:val="3"/>
        <w:numPr>
          <w:ilvl w:val="0"/>
          <w:numId w:val="5"/>
        </w:numPr>
        <w:ind w:left="0" w:firstLine="0" w:firstLineChars="0"/>
        <w:jc w:val="center"/>
        <w:rPr>
          <w:rFonts w:ascii="仿宋" w:hAnsi="仿宋" w:cstheme="minorBidi"/>
          <w:b w:val="0"/>
          <w:bCs/>
          <w:szCs w:val="28"/>
        </w:rPr>
      </w:pPr>
      <w:bookmarkStart w:id="121" w:name="_Toc319932539"/>
      <w:bookmarkStart w:id="122" w:name="_Toc311040981"/>
      <w:bookmarkStart w:id="123" w:name="_Toc204689936"/>
      <w:r>
        <w:rPr>
          <w:rFonts w:hint="eastAsia" w:ascii="仿宋" w:hAnsi="仿宋" w:cstheme="minorBidi"/>
          <w:b w:val="0"/>
          <w:bCs/>
          <w:szCs w:val="28"/>
        </w:rPr>
        <w:t>定义</w:t>
      </w:r>
      <w:bookmarkEnd w:id="121"/>
      <w:bookmarkEnd w:id="122"/>
      <w:bookmarkEnd w:id="123"/>
    </w:p>
    <w:p w14:paraId="11CA662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在本合同中，除上下文另有解释外，下列词语应当具有如下含义：</w:t>
      </w:r>
    </w:p>
    <w:p w14:paraId="1CBD784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  企业年金：指甲方及其职工在依法参加基本养老保险的基础上，自愿建立的补充养老保险制度。</w:t>
      </w:r>
    </w:p>
    <w:p w14:paraId="2BBCFA2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  企业年金方案：指由甲方发起、甲方职工参与、经过甲方和甲方职工的集体协商，并经人力资源社会保障行政部门审核备案的具有法律效力的文件，内容包括甲方参加人员范围，资金筹集方式，个人账户管理方式，基金管理方式，企业年金待遇计发办法、支付方式、支付条件，组织管理和监督方式，中止缴费的条件及双方约定的其他事项等。</w:t>
      </w:r>
    </w:p>
    <w:p w14:paraId="0BD5EF1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  企业年金计划：由企业年金方案和企业年金基金管理合同等法律文件组成。</w:t>
      </w:r>
    </w:p>
    <w:p w14:paraId="2941B99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  企业年金单一计划：指受托人将单个委托人交付的企业年金基金，单独进行受托管理的企业年金计划。</w:t>
      </w:r>
    </w:p>
    <w:p w14:paraId="5979C23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1.5  企业年金集合计划：指同一受托人将多个委托人交付的企业年金基金，集中进行受托管理的企业年金计划。</w:t>
      </w:r>
    </w:p>
    <w:p w14:paraId="2F1C116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  企业年金基金财产：指甲方及其职工根据企业年金方案归集的资金及其投资运营收益形成的企业补充养老保险基金。</w:t>
      </w:r>
    </w:p>
    <w:p w14:paraId="62D414A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1.7  委托投资资产：指企业年金基金财产中已委托给投资管理人的资产。</w:t>
      </w:r>
    </w:p>
    <w:p w14:paraId="7D281C2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1.8  委托人：指建立企业年金计划的甲方及其职工。本合同中甲方代表委托人行使委托人的权利义务。</w:t>
      </w:r>
    </w:p>
    <w:p w14:paraId="06CD292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1.9  受益人：指按照企业年金方案规定，参加企业年金计划的甲方职工及其他享有企业年金计划受益权的自然人。</w:t>
      </w:r>
    </w:p>
    <w:p w14:paraId="07B0E2D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1.10  受托人：指受托管理企业年金基金的符合国家规定的养老金管理公司等法人受托机构，本合同中特指乙方。</w:t>
      </w:r>
    </w:p>
    <w:p w14:paraId="27FAF68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1.11  账户管理人：指接受受托人委托管理企业年金基金账户的符合国家规定的专业机构。</w:t>
      </w:r>
    </w:p>
    <w:p w14:paraId="61D030C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1.12  托管人：指接受受托人委托保管企业年金基金财产的符合国家规定的商业银行。</w:t>
      </w:r>
    </w:p>
    <w:p w14:paraId="0AECCBD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1.13  投资管理人：指接受受托人委托投资管理企业年金基金财产的符合国家规定的专业机构。</w:t>
      </w:r>
    </w:p>
    <w:p w14:paraId="3954C6C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1.14  账户管理合同：指乙方与账户管理人签订的《    企业年金计划账户管理合同》及其附件，以及乙方和账户管理人对该合同及附件做出的任何有效变更及补充。</w:t>
      </w:r>
    </w:p>
    <w:p w14:paraId="0459B72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1.15  托管合同：指乙方与托管人签订的《    企业年金计划托管合同》及其附件，以及乙方和托管人对该合同及附件做出的任何有效变更及补充。</w:t>
      </w:r>
    </w:p>
    <w:p w14:paraId="00D503C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1.16  投资管理合同：指乙方与投资管理人签订的《    企业年金计划投资管理合同》及其附件，以及乙方和投资管理人对该合同及附件做出的任何有效变更及补充。</w:t>
      </w:r>
    </w:p>
    <w:p w14:paraId="06FDC4C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1.17  受托财产托管账户：指托管人开立的、专门用于归集企业年金缴费、向投资资产托管账户划拨资金、向受益人支付企业年金待遇、依据法律法规规定支付企业年金管理费用或转移企业年金基金财产的专用存款账户。</w:t>
      </w:r>
    </w:p>
    <w:p w14:paraId="5071D81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1.18  投资资产托管账户：指托管人开立的、专门用于所托管的企业年金基金因投资运作而发生的资金清算交收的专用存款账户。</w:t>
      </w:r>
    </w:p>
    <w:p w14:paraId="3A7B9D4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1.19  企业账户：指用于记录企业基本信息及企业年金计划权益信息的账户。企业基本信息至少应当包括企业编码、企业名称、组织机构代码、通讯地址、联系人姓名及电话；企业年金计划权益信息至少应当包括缴费、支付、投资收益、权益余额、未归属权益等信息。</w:t>
      </w:r>
    </w:p>
    <w:p w14:paraId="334D36F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1.20  个人账户：指用于记录职工个人基本信息、企业缴费信息、个人缴费信息、投资收益、已归属权益等信息的账户。</w:t>
      </w:r>
    </w:p>
    <w:p w14:paraId="34432FF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1.21  保留账户：指职工因变动工作、升学、参军、失业等法律法规规定的原因离职或者企业年金计划终止且没有加入其他受托人管理的企业年金计划时，用于记录职工个人基本信息、投资收益、权益余额等信息的账户。</w:t>
      </w:r>
    </w:p>
    <w:p w14:paraId="10952A4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1.22  退休账户：指职工退休选择分期领取企业年金待遇时，用于记录职工个人基本信息、企业年金待遇支付、投资收益、权益余额等信息的账户。</w:t>
      </w:r>
    </w:p>
    <w:p w14:paraId="4584653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1.23  已归属权益：指甲方职工符合企业年金方案规定的归属条件时，确定该职工企业年金个人账户中企业缴费及其投资运营收益中应当取得的权益。</w:t>
      </w:r>
    </w:p>
    <w:p w14:paraId="032C1DB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1.24  未归属权益：指甲方职工离开甲方时，按照企业年金方案规定的归属条件，职工个人账户中未能归属于职工的企业缴费及其投资运营收益。</w:t>
      </w:r>
    </w:p>
    <w:p w14:paraId="4E7CBF6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1.25  个人账户权益：指企业年金个人账户中个人缴费及其投资运营收益以及受益人享有的已归属权益。</w:t>
      </w:r>
    </w:p>
    <w:p w14:paraId="22C8E9E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1.26  企业年金待遇：指按照相关法律法规和企业年金方案应当支付给受益人的个人账户权益。</w:t>
      </w:r>
    </w:p>
    <w:p w14:paraId="10C1447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1.27  投资组合：指为分散风险而将企业年金基金分成的若干投资单元。</w:t>
      </w:r>
    </w:p>
    <w:p w14:paraId="616B658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1.28  投资管理风险准备金：指投资管理人从当期收取的投资管理费中提取的专项用于弥补合同终止时所管理投资组合的企业年金基金当期投资亏损的资金。</w:t>
      </w:r>
    </w:p>
    <w:p w14:paraId="702230D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1.29  投资管理风险准备金账户：指投资管理人开立的、专门用于存放从投资管理人投资管理费中提取的投资管理风险准备金的专用存款账户。</w:t>
      </w:r>
    </w:p>
    <w:p w14:paraId="6AB8E20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1.30  交易日：指上海证券交易所、深圳证券交易所等交易所正常的营业日。</w:t>
      </w:r>
    </w:p>
    <w:p w14:paraId="51C30CD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1.31  审计费用：指对企业年金计划进行审计所发生的费用。</w:t>
      </w:r>
    </w:p>
    <w:p w14:paraId="42D1659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1.32  交易费用：指因证券买卖所产生的印花税、手续费、过户费、证管费、交易单元佣金及账户维护费等费用。</w:t>
      </w:r>
    </w:p>
    <w:p w14:paraId="7632E32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1.33  资金划拨费用：指因受托财产托管账户与投资资产托管账户之间的资金划拨、投资资产托管账户与证券市场、银行间债券市场、开放式基金等登记清算机构的资金账户之间的资金划拨、企业年金待遇领取的资金划拨以及支付有关费用等产生的汇划费用以及由此产生的银行票据购买等费用。</w:t>
      </w:r>
    </w:p>
    <w:p w14:paraId="19419A8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1.34  开户费用：指托管人为企业年金计划及投资组合开设资金类和投资交易类等账户时所发生的费用。</w:t>
      </w:r>
    </w:p>
    <w:p w14:paraId="04D1DFA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1.35  清算费用：指企业年金计划终止时对企业年金基金财产进行清算时发生的费用。</w:t>
      </w:r>
    </w:p>
    <w:p w14:paraId="027CA18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1.36  超缴：指委托人实际缴费金额大于缴费收账通知的应收缴费金额。</w:t>
      </w:r>
    </w:p>
    <w:p w14:paraId="024E0F9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1.37  短缴：指委托人实际缴费金额小于缴费收账通知的应收缴费金额。</w:t>
      </w:r>
    </w:p>
    <w:p w14:paraId="07B9C3C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1.38  管理职责终止日：指企业年金计划的受托人、账户管理人、托管人或投资管理人职责终止，新旧管理人业务移交手续办理完毕之日，具体日期由受托人与新旧管理人协商确定。</w:t>
      </w:r>
    </w:p>
    <w:p w14:paraId="7C981CD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1.39  法律法规: 本合同所称法律法规指国家现行有效并公布实施的法律、行政法规、司法解释、部门规章及规范性文件等。</w:t>
      </w:r>
    </w:p>
    <w:p w14:paraId="7297A39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1.40  不可抗力：指甲乙双方不能预见、不能避免且不能克服的客观情况，包括但不限于自然灾害、社会政治动乱和战争、以及证券交易所、中国证券登记结算有限责任公司、中央国债登记结算有限责任公司、银行间市场清算所股份有限公司等证券交易和结算机构的交易系统故障。</w:t>
      </w:r>
    </w:p>
    <w:p w14:paraId="3E6AC75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1.41  损失：本合同、附件以及后续签订的补充协议中所指的损失均指直接损失。</w:t>
      </w:r>
    </w:p>
    <w:p w14:paraId="216D5FF2">
      <w:pPr>
        <w:pStyle w:val="3"/>
        <w:numPr>
          <w:ilvl w:val="0"/>
          <w:numId w:val="5"/>
        </w:numPr>
        <w:ind w:left="0" w:firstLine="0" w:firstLineChars="0"/>
        <w:jc w:val="center"/>
        <w:rPr>
          <w:rFonts w:ascii="仿宋" w:hAnsi="仿宋" w:cstheme="minorBidi"/>
          <w:b w:val="0"/>
          <w:bCs/>
          <w:szCs w:val="28"/>
        </w:rPr>
      </w:pPr>
      <w:bookmarkStart w:id="124" w:name="_Toc319932540"/>
      <w:bookmarkStart w:id="125" w:name="_Toc311040982"/>
      <w:bookmarkStart w:id="126" w:name="_Toc204689937"/>
      <w:r>
        <w:rPr>
          <w:rFonts w:hint="eastAsia" w:ascii="仿宋" w:hAnsi="仿宋" w:cstheme="minorBidi"/>
          <w:b w:val="0"/>
          <w:bCs/>
          <w:szCs w:val="28"/>
        </w:rPr>
        <w:t>声明与承诺</w:t>
      </w:r>
      <w:bookmarkEnd w:id="124"/>
      <w:bookmarkEnd w:id="125"/>
      <w:bookmarkEnd w:id="126"/>
    </w:p>
    <w:p w14:paraId="7C06818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2.1  甲方声明与承诺。</w:t>
      </w:r>
    </w:p>
    <w:p w14:paraId="20A333B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2.1.1  甲方声明已通过职工大会(或者职工代表大会)讨论确定，取得职工的合法授权，代表委托人签署本合同，并可代为处理与受益人相关的事项，但法律法规规定、本合同约定及根据行为性质只能由受益人自己处理的事项除外。</w:t>
      </w:r>
    </w:p>
    <w:p w14:paraId="3003C51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2.1.2  甲方声明已了解国家关于企业年金的法律法规规定及本合同约定，充分认识到企业年金基金财产运作过程中可能存在的风险，自愿按照法律法规规定及本合同约定将其合法拥有的按照其企业年金方案所归集的企业年金基金财产委托给乙方管理运用、处分。</w:t>
      </w:r>
    </w:p>
    <w:p w14:paraId="1BAC62B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2.1.3  甲方声明甲方依据企业年金计划设立的相关文件和资料，签署本合同并履行本合同约定的义务，行使本合同项下的权利，不违反甲方章程和适用于甲方的任何生效判决、裁定、授权及协议，不会为其他任何第三方所质疑，并为合同有效执行负有责任。</w:t>
      </w:r>
    </w:p>
    <w:p w14:paraId="3F52CC4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2.1.4  甲方承诺企业年金基金财产来源及用途符合法律法规规定，并保证企业年金基金财产没有用于任何担保和抵押，亦无其他任何限制性条件妨碍乙方对企业年金基金财产进行受托管理。</w:t>
      </w:r>
    </w:p>
    <w:p w14:paraId="6673D7E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2.1.5  甲方承诺提供给乙方的所有信息资料均合法、真实、准确、完整，没有任何虚假陈述、重大遗漏和误导。</w:t>
      </w:r>
    </w:p>
    <w:p w14:paraId="052E620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2.2  乙方声明与承诺。</w:t>
      </w:r>
    </w:p>
    <w:p w14:paraId="5F74823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2.2.1  乙方声明本公司为根据法律法规合法设立并有效存续、依法取得企业年金基金受托管理业务资格、受托管理企业年金基金财产的法人受托机构。</w:t>
      </w:r>
    </w:p>
    <w:p w14:paraId="13B4244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2.2.2  乙方声明签署本合同、履行其在本合同项下的义务、行使其在本合同项下的权利，不违反乙方章程和适用于乙方的任何生效判决、裁定、授权及协议。</w:t>
      </w:r>
    </w:p>
    <w:p w14:paraId="00E0059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2.2.3  乙方声明市场存在风险，不保证企业年金基金财产管理过程中本金不受损失，亦不保证一定盈利。</w:t>
      </w:r>
    </w:p>
    <w:p w14:paraId="2D43573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2.2.4  乙方承诺严格遵守法律法规规定、企业年金管理机构行业自律公约和本合同约定，恪尽职守，按照诚实、信用、谨慎、勤勉的原则，履行受托管理职责，为受益人最大利益管理和处分企业年金基金财产。</w:t>
      </w:r>
    </w:p>
    <w:p w14:paraId="0B76696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2.2.5  乙方承诺提供给甲方的所有信息资料均合法、真实、准确、完整，没有任何虚假陈述、重大遗漏和误导。</w:t>
      </w:r>
    </w:p>
    <w:bookmarkEnd w:id="113"/>
    <w:bookmarkEnd w:id="114"/>
    <w:bookmarkEnd w:id="115"/>
    <w:p w14:paraId="58B7244B">
      <w:pPr>
        <w:pStyle w:val="3"/>
        <w:numPr>
          <w:ilvl w:val="0"/>
          <w:numId w:val="5"/>
        </w:numPr>
        <w:ind w:left="0" w:firstLine="560"/>
        <w:jc w:val="center"/>
        <w:rPr>
          <w:rFonts w:ascii="仿宋" w:hAnsi="仿宋" w:cstheme="minorBidi"/>
          <w:b w:val="0"/>
          <w:bCs/>
          <w:szCs w:val="28"/>
        </w:rPr>
      </w:pPr>
      <w:bookmarkStart w:id="127" w:name="_Toc319932541"/>
      <w:bookmarkStart w:id="128" w:name="_Toc311040983"/>
      <w:bookmarkStart w:id="129" w:name="_Toc196484064"/>
      <w:bookmarkStart w:id="130" w:name="_Toc204689938"/>
      <w:r>
        <w:rPr>
          <w:rFonts w:hint="eastAsia" w:ascii="仿宋" w:hAnsi="仿宋" w:cstheme="minorBidi"/>
          <w:b w:val="0"/>
          <w:bCs/>
          <w:szCs w:val="28"/>
        </w:rPr>
        <w:t>受托的设立</w:t>
      </w:r>
      <w:bookmarkEnd w:id="127"/>
      <w:bookmarkEnd w:id="128"/>
      <w:bookmarkEnd w:id="129"/>
      <w:bookmarkEnd w:id="130"/>
    </w:p>
    <w:p w14:paraId="04F8417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3.1  设立的条件。</w:t>
      </w:r>
    </w:p>
    <w:p w14:paraId="42F3C60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甲方企业年金方案已经过人力资源社会保障行政部门备案，方案备案文号为     。</w:t>
      </w:r>
    </w:p>
    <w:p w14:paraId="1D00A79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3.2  设立的目的。</w:t>
      </w:r>
    </w:p>
    <w:p w14:paraId="3D29929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保障企业年金基金财产的独立性，争取实现企业年金基金保值增值，提高受益人退休后的收入水平。</w:t>
      </w:r>
    </w:p>
    <w:p w14:paraId="7EEA4D33">
      <w:pPr>
        <w:pStyle w:val="16"/>
        <w:tabs>
          <w:tab w:val="left" w:pos="2700"/>
        </w:tabs>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3.3  受托财产。</w:t>
      </w:r>
    </w:p>
    <w:p w14:paraId="7DA09842">
      <w:pPr>
        <w:pStyle w:val="16"/>
        <w:tabs>
          <w:tab w:val="left" w:pos="2700"/>
        </w:tabs>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甲方委托乙方按本合同约定进行受托管理的企业年金基金财产。</w:t>
      </w:r>
    </w:p>
    <w:p w14:paraId="14FE0A3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3.4  受托的成立。</w:t>
      </w:r>
    </w:p>
    <w:p w14:paraId="70DA017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甲方与乙方签订的受托管理合同以及乙方与其他管理人分别签订的委托管理合同，经人力资源社会保障行政部门备案后，受托成立。</w:t>
      </w:r>
    </w:p>
    <w:p w14:paraId="76783D19">
      <w:pPr>
        <w:pStyle w:val="3"/>
        <w:numPr>
          <w:ilvl w:val="0"/>
          <w:numId w:val="5"/>
        </w:numPr>
        <w:ind w:left="0" w:firstLine="560"/>
        <w:jc w:val="center"/>
        <w:rPr>
          <w:rFonts w:ascii="仿宋" w:hAnsi="仿宋" w:cstheme="minorBidi"/>
          <w:b w:val="0"/>
          <w:bCs/>
          <w:szCs w:val="28"/>
        </w:rPr>
      </w:pPr>
      <w:bookmarkStart w:id="131" w:name="_Toc319932542"/>
      <w:bookmarkStart w:id="132" w:name="_Toc311040984"/>
      <w:bookmarkStart w:id="133" w:name="_Toc204689939"/>
      <w:r>
        <w:rPr>
          <w:rFonts w:hint="eastAsia" w:ascii="仿宋" w:hAnsi="仿宋" w:cstheme="minorBidi"/>
          <w:b w:val="0"/>
          <w:bCs/>
          <w:szCs w:val="28"/>
        </w:rPr>
        <w:t>受托当事人的权利与义务</w:t>
      </w:r>
      <w:bookmarkEnd w:id="131"/>
      <w:bookmarkEnd w:id="132"/>
      <w:bookmarkEnd w:id="133"/>
    </w:p>
    <w:p w14:paraId="7DCCF1D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4.1  受托当事人。</w:t>
      </w:r>
    </w:p>
    <w:p w14:paraId="3A67F9B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受托当事人为甲方、乙方和受益人。</w:t>
      </w:r>
    </w:p>
    <w:p w14:paraId="41E3A52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bookmarkStart w:id="134" w:name="_Toc200853037"/>
      <w:bookmarkStart w:id="135" w:name="_Toc200433424"/>
      <w:bookmarkStart w:id="136" w:name="_Toc196484069"/>
      <w:bookmarkStart w:id="137" w:name="_Toc200433616"/>
      <w:r>
        <w:rPr>
          <w:rFonts w:hint="eastAsia" w:ascii="仿宋" w:hAnsi="仿宋" w:eastAsia="仿宋"/>
          <w:bCs/>
          <w:color w:val="000000" w:themeColor="text1"/>
          <w:sz w:val="28"/>
          <w:szCs w:val="28"/>
          <w14:textFill>
            <w14:solidFill>
              <w14:schemeClr w14:val="tx1"/>
            </w14:solidFill>
          </w14:textFill>
        </w:rPr>
        <w:t>4.2  甲方的权利与义务</w:t>
      </w:r>
      <w:bookmarkEnd w:id="134"/>
      <w:bookmarkEnd w:id="135"/>
      <w:bookmarkEnd w:id="136"/>
      <w:bookmarkEnd w:id="137"/>
      <w:r>
        <w:rPr>
          <w:rFonts w:hint="eastAsia" w:ascii="仿宋" w:hAnsi="仿宋" w:eastAsia="仿宋"/>
          <w:bCs/>
          <w:color w:val="000000" w:themeColor="text1"/>
          <w:sz w:val="28"/>
          <w:szCs w:val="28"/>
          <w14:textFill>
            <w14:solidFill>
              <w14:schemeClr w14:val="tx1"/>
            </w14:solidFill>
          </w14:textFill>
        </w:rPr>
        <w:t>。</w:t>
      </w:r>
    </w:p>
    <w:p w14:paraId="554330B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4.2.1  甲方的权利。</w:t>
      </w:r>
    </w:p>
    <w:p w14:paraId="0DB1BAA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4.2.1.1  监督乙方的受托管理行为。</w:t>
      </w:r>
    </w:p>
    <w:p w14:paraId="7651382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4.2.1.2  向乙方了解企业年金基金财产管理、处分及收支情况，并有权要求乙方做出说明。</w:t>
      </w:r>
    </w:p>
    <w:p w14:paraId="24E5356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4.2.1.3  依据法律法规规定，查阅、抄录或者复制与企业年金基金财产有关的财务资料以及与企业年金基金管理有关的其他资料。</w:t>
      </w:r>
    </w:p>
    <w:p w14:paraId="083F3BB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4.2.1.4  按本合同约定终止本合同。</w:t>
      </w:r>
    </w:p>
    <w:p w14:paraId="7CE1A56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4.2.1.5  向乙方查阅企业年金计划的委托管理合同。</w:t>
      </w:r>
    </w:p>
    <w:p w14:paraId="779351C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4.2.1.6  行使法律法规规定及本合同约定的其他权利。</w:t>
      </w:r>
    </w:p>
    <w:p w14:paraId="69B55F1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4.2.2  甲方的义务。</w:t>
      </w:r>
    </w:p>
    <w:p w14:paraId="6E0EC64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4.2.2.1  遵守法律法规规定及本合同约定，不损害国家、社会公众和受益人的合法权益，如法律法规调整，应当及时与乙方协商，相应调整本合同相关内容。</w:t>
      </w:r>
    </w:p>
    <w:p w14:paraId="47DA985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4.2.2.2  按企业年金方案规定缴费，并于企业年金基金缴费归集到受托财产托管账户后配合乙方在45日内将缴费划入投资资产托管账户。</w:t>
      </w:r>
    </w:p>
    <w:p w14:paraId="2812508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4.2.2.3  及时足额支付账户管理费；同意乙方按本合同约定从企业年金基金财产中列支受托管理费、托管费、投资管理费和其他有关费用。</w:t>
      </w:r>
    </w:p>
    <w:p w14:paraId="61A8944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4.2.2.4  及时向乙方提供企业年金方案建立和运作所必需的相关资料和信息，包括企业基本信息、职工个人基本信息、缴费信息、支付年金待遇的相关证明等，并承担本合同和企业年金方案约定的管理流程中确认数据等各项职责。其中，企业基本信息应当包括企业编码、企业名称、组织机构代码、通讯地址、联系人姓名及电话等信息，个人基本信息应当包括企业年金计划编码、姓名、性别、出生日期、公民身份证号码或其他有效身份证件号码、通信地址、联系电话、参加工作日期、参加计划日期等信息。</w:t>
      </w:r>
    </w:p>
    <w:p w14:paraId="1B4E237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4.2.2.5  向受益人披露企业年金基金管理相关信息，包括但不限于：本合同内容、受益人个人账户状态变更情况、企业年金计划的定期报告、临时报告、审计报告及清算报告等。</w:t>
      </w:r>
    </w:p>
    <w:p w14:paraId="1FB36FB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4.2.2.6  如变更企业年金方案，变更内容涉及受托管理职责的，应当提前与乙方协商。甲方应当及时向人力资源社会保障行政部门报备变更后的企业年金方案，并及时书面告知乙方。</w:t>
      </w:r>
    </w:p>
    <w:p w14:paraId="41D2618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4.2.2.7  如甲方终止企业年金计划，应当向乙方提出申请将受益人的个人账户权益转至保留账户管理。</w:t>
      </w:r>
    </w:p>
    <w:p w14:paraId="3EF456E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4.2.2.8  甲方无正当理由不得干预乙方行使法律法规赋予的受托人职责、不得干预乙方选择其他企业年金基金管理机构。如因甲方无故干预，导致企业年金基金财产受到损失的，该损失由甲方承担。</w:t>
      </w:r>
    </w:p>
    <w:p w14:paraId="3EB6B41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4.2.2.9  完整保存与本合同有关的凭证、合同及协议等资料，自合同终止之日起至少15年。</w:t>
      </w:r>
    </w:p>
    <w:p w14:paraId="022867F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4.2.2.10  履行法律法规规定及本合同约定的其他义务。</w:t>
      </w:r>
    </w:p>
    <w:p w14:paraId="632A629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bookmarkStart w:id="138" w:name="_Toc200853038"/>
      <w:bookmarkStart w:id="139" w:name="_Toc196484070"/>
      <w:bookmarkStart w:id="140" w:name="_Toc200433617"/>
      <w:bookmarkStart w:id="141" w:name="_Toc200433425"/>
      <w:r>
        <w:rPr>
          <w:rFonts w:hint="eastAsia" w:ascii="仿宋" w:hAnsi="仿宋" w:eastAsia="仿宋"/>
          <w:bCs/>
          <w:color w:val="000000" w:themeColor="text1"/>
          <w:sz w:val="28"/>
          <w:szCs w:val="28"/>
          <w14:textFill>
            <w14:solidFill>
              <w14:schemeClr w14:val="tx1"/>
            </w14:solidFill>
          </w14:textFill>
        </w:rPr>
        <w:t>4.3  乙方的权利与义务</w:t>
      </w:r>
      <w:bookmarkEnd w:id="138"/>
      <w:bookmarkEnd w:id="139"/>
      <w:bookmarkEnd w:id="140"/>
      <w:bookmarkEnd w:id="141"/>
      <w:r>
        <w:rPr>
          <w:rFonts w:hint="eastAsia" w:ascii="仿宋" w:hAnsi="仿宋" w:eastAsia="仿宋"/>
          <w:bCs/>
          <w:color w:val="000000" w:themeColor="text1"/>
          <w:sz w:val="28"/>
          <w:szCs w:val="28"/>
          <w14:textFill>
            <w14:solidFill>
              <w14:schemeClr w14:val="tx1"/>
            </w14:solidFill>
          </w14:textFill>
        </w:rPr>
        <w:t>。</w:t>
      </w:r>
    </w:p>
    <w:p w14:paraId="6C1573E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4.3.1  乙方的权利。</w:t>
      </w:r>
    </w:p>
    <w:p w14:paraId="0E0D54F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4.3.1.1  自本合同生效之日起，有权依据法律法规规定及本合同约定，管理运用、处分企业年金基金财产。</w:t>
      </w:r>
    </w:p>
    <w:p w14:paraId="308169F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4.3.1.2  依据本合同约定及时从甲方获得与企业年金计划管理有关的业务资料及信息。</w:t>
      </w:r>
    </w:p>
    <w:p w14:paraId="6FCAE13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4.3.1.3  选择、监督、更换账户管理人、托管人和投资管理人。</w:t>
      </w:r>
    </w:p>
    <w:p w14:paraId="552F464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4.3.1.4  依据本合同约定从受托财产中收取受托管理费；要求甲方按照账户管理合同约定及时、足额支付账户管理费；依据托管合同、投资管理合同约定从企业年金基金财产中列支托管费和投资管理费。</w:t>
      </w:r>
    </w:p>
    <w:p w14:paraId="11A74A3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4.3.1.5  甲方依法解散、被依法撤销、被依法宣告破产或者被依法接管无法继续履行本合同时，甲方未及时办理受益人的个人账户权益转至保留账户相关手续的，乙方有权将受益人的个人账户权益转至乙方发起设立的企业年金集合计划下的保留账户管理。</w:t>
      </w:r>
    </w:p>
    <w:p w14:paraId="59D7CE1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4.3.1.6  当甲方的指令同有关法律法规相抵触时，乙方有权拒绝执行。</w:t>
      </w:r>
    </w:p>
    <w:p w14:paraId="470A309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4.3.1.7  行使法律法规规定及本合同约定的其他权利。</w:t>
      </w:r>
    </w:p>
    <w:p w14:paraId="6CF6910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  乙方的义务。</w:t>
      </w:r>
    </w:p>
    <w:p w14:paraId="4A25BB2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4.3.2.1  遵守法律法规规定及本合同约定，不损害国家、社会公众和受益人的合法权益，如法律法规调整，应当及时与甲方协商，相应调整本合同相关内容。</w:t>
      </w:r>
    </w:p>
    <w:p w14:paraId="24891D9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4.3.2.2  遵守本合同约定，本着受益人长期利益最大化原则履行受托职责。</w:t>
      </w:r>
    </w:p>
    <w:p w14:paraId="3B40BE3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4.3.2.3  建立健全内部风险控制、监察与稽核、财务管理及人事管理等制度，设置相应部门，并配备足够专业人员，严格控制企业年金基金运作风险。</w:t>
      </w:r>
    </w:p>
    <w:p w14:paraId="3DCEED3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4.3.2.4  除依照法律法规规定及本合同约定取得报酬外，不得利用企业年金基金财产谋取不正当利益。</w:t>
      </w:r>
    </w:p>
    <w:p w14:paraId="466F6CF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4.3.2.5  将企业年金基金财产与乙方的固有财产及乙方管理的其他财产分别管理、分别记账。</w:t>
      </w:r>
    </w:p>
    <w:p w14:paraId="3BB4F21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4.3.2.6  管理、处分企业年金基金财产所产生的债权债务，不得与乙方的固有财产及乙方管理的其他财产所产生的债权债务相抵销。</w:t>
      </w:r>
    </w:p>
    <w:p w14:paraId="27B911F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4.3.2.7  监督账户管理人、托管人以及投资管理人的行为，如发现账户管理人、托管人以及投资管理人违反本合同及法律法规，应当采取必要措施保护甲方及受益人的利益，并及时向甲方及人力资源社会保障行政部门报告。</w:t>
      </w:r>
    </w:p>
    <w:p w14:paraId="01F2D28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4.3.2.8  按照法律法规规定，接受和配合人力资源社会保障行政部门的监管，积极履行相关备案和报告的义务。</w:t>
      </w:r>
    </w:p>
    <w:p w14:paraId="5B83357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4.3.2.9  按照法律法规规定，聘请会计师事务所对企业年金计划进行审计。 企业年金计划终止时，组织清算组对企业年金基金财产进行清算。</w:t>
      </w:r>
    </w:p>
    <w:p w14:paraId="53A63D4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4.3.2.10  乙方职责终止的，甲方选任新的受托人后，乙方应当与新的受托人及时妥善进行交接工作，乙方完成与新的受托人交接工作之前，应当继续履行受托人职责和义务，并按本合同约定收取相关费用。</w:t>
      </w:r>
    </w:p>
    <w:p w14:paraId="2B8A3FC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4.3.2.11  完整保存与本合同有关的企业年金基金管理记录，包括各类纸质和电子文件，保存期限为在本合同终止后至少15年，并要求其他管理人完整保存相关资料。</w:t>
      </w:r>
    </w:p>
    <w:p w14:paraId="71BDDE2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4.3.2.12  履行法律法规规定及本合同约定的其他义务。</w:t>
      </w:r>
    </w:p>
    <w:p w14:paraId="1C01749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  受益人权利和义务。</w:t>
      </w:r>
    </w:p>
    <w:p w14:paraId="7EE26B4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4.4.1  受益人权利。</w:t>
      </w:r>
    </w:p>
    <w:p w14:paraId="4F3AFD0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4.4.1.1  按照企业年金方案约定的个人账户权益归属规则享有归属权益。</w:t>
      </w:r>
    </w:p>
    <w:p w14:paraId="250ACFA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4.4.1.2  根据法律法规规定及本合同约定，了解、查询企业年金基金个人账户基本情况。</w:t>
      </w:r>
    </w:p>
    <w:p w14:paraId="2ACC79F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4.4.1.3  根据法律法规规定及本合同约定，申请领取企业年金待遇。</w:t>
      </w:r>
    </w:p>
    <w:p w14:paraId="01705CE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4.4.1.4  受益人离职的，如新工作单位已经建立企业年金计划的，个人账户权益转至新的企业年金计划；如新工作单位尚未建立企业年金计划的，个人账户权益可在企业年金计划下建立保留账户管理，或转至乙方发起设立的企业年金集合计划下的保留账户进行管理。</w:t>
      </w:r>
    </w:p>
    <w:p w14:paraId="4EA84DF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4.4.1.5  如受益人身故，由其指定的身故受益人或其法定继承人一次性领取个人账户权益，法定继承人的认定以有权机关出具的司法文书为准。对法定继承人未经认定但要求支付企业年金待遇的，乙方有权拒绝执行。</w:t>
      </w:r>
    </w:p>
    <w:p w14:paraId="29C43DA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4.4.1.6  行使法律法规规定及本合同约定的其他权利。</w:t>
      </w:r>
    </w:p>
    <w:p w14:paraId="687ECA3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4.4.2  受益人义务。</w:t>
      </w:r>
    </w:p>
    <w:p w14:paraId="6320C54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4.4.2.1  按企业年金方案规定和本合同约定进行缴费。</w:t>
      </w:r>
    </w:p>
    <w:p w14:paraId="7B3CDCB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4.4.2.2  不得转让企业年金基金受益权，不得将企业年金基金受益权用于偿还债务或担保。</w:t>
      </w:r>
    </w:p>
    <w:p w14:paraId="68ECC4A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4.4.2.3  提供企业年金基金管理运作所需的相关资料和信息。</w:t>
      </w:r>
    </w:p>
    <w:p w14:paraId="5E4128E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4.4.2.4  按照本合同约定承担保留账户和退休账户的账户管理费。</w:t>
      </w:r>
    </w:p>
    <w:p w14:paraId="04CA6DB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4.4.2.5  当受益人离职且新工作单位没有建立企业年金计划，甲方要求受益人的个人账户权益转移至乙方发起设立的企业年金集合计划下的保留账户管理的，受益人应当同意并履行相关手续。</w:t>
      </w:r>
    </w:p>
    <w:p w14:paraId="64E0233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4.4.2.6  履行法律法规规定及本合同约定的其他义务。</w:t>
      </w:r>
    </w:p>
    <w:p w14:paraId="05B3694C">
      <w:pPr>
        <w:pStyle w:val="3"/>
        <w:numPr>
          <w:ilvl w:val="0"/>
          <w:numId w:val="5"/>
        </w:numPr>
        <w:ind w:left="0" w:firstLine="560"/>
        <w:jc w:val="center"/>
        <w:rPr>
          <w:rFonts w:ascii="仿宋" w:hAnsi="仿宋" w:cstheme="minorBidi"/>
          <w:b w:val="0"/>
          <w:bCs/>
          <w:szCs w:val="28"/>
        </w:rPr>
      </w:pPr>
      <w:bookmarkStart w:id="142" w:name="_Toc204689940"/>
      <w:bookmarkStart w:id="143" w:name="_Toc319932543"/>
      <w:bookmarkStart w:id="144" w:name="_Toc311040985"/>
      <w:bookmarkStart w:id="145" w:name="_Toc196484073"/>
      <w:r>
        <w:rPr>
          <w:rFonts w:hint="eastAsia" w:ascii="仿宋" w:hAnsi="仿宋" w:cstheme="minorBidi"/>
          <w:b w:val="0"/>
          <w:bCs/>
          <w:szCs w:val="28"/>
        </w:rPr>
        <w:t>企业年金基金的管理</w:t>
      </w:r>
      <w:bookmarkEnd w:id="142"/>
      <w:bookmarkEnd w:id="143"/>
    </w:p>
    <w:p w14:paraId="4EDB2F3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5.1  受托人的管理职责。</w:t>
      </w:r>
    </w:p>
    <w:p w14:paraId="49AE7FE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5.1.1  按照法律法规规定及本合同约定监督企业年金基金管理，督促账户管理人、托管人及投资管理人诚实、信用、勤勉、尽责地履行企业年金基金管理职责。</w:t>
      </w:r>
    </w:p>
    <w:p w14:paraId="466DD2F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5.1.2  制定企业年金基金资产配置策略，遵循高度安全、稳健收益原则，采取分散风险和专业化管理的方式，实现企业年金保值增值。</w:t>
      </w:r>
    </w:p>
    <w:p w14:paraId="7E42B52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5.1.3  与托管人、投资管理人共同协商确定投资监督事项表，督促托管人按照投资监督事项表监督投资管理人的运作。</w:t>
      </w:r>
    </w:p>
    <w:p w14:paraId="602C833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5.1.4  依据企业年金方案和本合同的约定审核企业缴费、职工缴费和企业年金待遇支付，及时收取企业和职工缴费，及时、足额向受益人支付企业年金待遇。</w:t>
      </w:r>
    </w:p>
    <w:p w14:paraId="26B1C98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5.1.5  要求账户管理人向委托人和受益人提供企业年金基金查询服务。</w:t>
      </w:r>
    </w:p>
    <w:p w14:paraId="0D8D8BB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5.1.6  发生重大事项时，及时向委托人和有关监管部门报告。</w:t>
      </w:r>
    </w:p>
    <w:p w14:paraId="0A35205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5.1.7  受托人选择的账户管理人、托管人及投资管理人未诚实、信用、勤勉、尽责地履行企业年金基金管理职责，由此给企业年金基金财产造成损失的，由账户管理人、托管人及投资管理人负责赔偿相关损失，受托人依法承担相关法律责任。</w:t>
      </w:r>
    </w:p>
    <w:p w14:paraId="3326093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5.1.8  按照法律法规规定及本合同约定，及时向委托人和有关监管部门提供企业年金基金管理报告，并提供相关查询内容，对报告内容的真实性、完整性、准确性负责。</w:t>
      </w:r>
    </w:p>
    <w:p w14:paraId="553D310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5.1.9  承担法律法规规定及本合同约定的其他职责。</w:t>
      </w:r>
    </w:p>
    <w:p w14:paraId="278E47B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5.2  账户管理人的管理职责</w:t>
      </w:r>
      <w:bookmarkEnd w:id="144"/>
      <w:bookmarkEnd w:id="145"/>
      <w:r>
        <w:rPr>
          <w:rFonts w:hint="eastAsia" w:ascii="仿宋" w:hAnsi="仿宋" w:eastAsia="仿宋"/>
          <w:bCs/>
          <w:color w:val="000000" w:themeColor="text1"/>
          <w:sz w:val="28"/>
          <w:szCs w:val="28"/>
          <w14:textFill>
            <w14:solidFill>
              <w14:schemeClr w14:val="tx1"/>
            </w14:solidFill>
          </w14:textFill>
        </w:rPr>
        <w:t>。</w:t>
      </w:r>
    </w:p>
    <w:p w14:paraId="1861E21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5.2.1  受托人如委托具备账户管理人资格的企业年金账户管理机构负责企业年金基金账户管理事务，应当签订账户管理合同。账户管理人违反法律法规规定及本合同约定，并由此给企业年金基金财产造成损失的，账户管理人应当依法承担相关法律责任。</w:t>
      </w:r>
    </w:p>
    <w:p w14:paraId="7E2C59E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5.2.2  账户管理人承担的账户管理职责包括： </w:t>
      </w:r>
    </w:p>
    <w:p w14:paraId="0683192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5.2.2.1  建立企业年金基金的企业账户和个人账户；</w:t>
      </w:r>
    </w:p>
    <w:p w14:paraId="6E68428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5.2.2.2  记录企业、职工缴费基本信息，记录企业年金基金投资收益，记录企业年金基金企业账户与个人账户信息及财产变化状况，计算应领取的企业年金待遇；</w:t>
      </w:r>
    </w:p>
    <w:p w14:paraId="30CD4E0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5.2.2.3  定期向受托人提交账户管理数据等信息以及企业年金基金账户管理报告，定期向有关监管部门提交开展企业年金基金账户管理业务情况报告；</w:t>
      </w:r>
    </w:p>
    <w:p w14:paraId="4F37F8E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5.2.2.4  向委托人及受益人提供企业年金基金企业账户和个人账户信息查询服务，并向受益人提供年度权益报告；</w:t>
      </w:r>
    </w:p>
    <w:p w14:paraId="315487E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5.2.2.5  及时与托管人核对缴费数据以及企业年金基金账户财产变化状况，及时将核对结果提交受托人；</w:t>
      </w:r>
    </w:p>
    <w:p w14:paraId="12EE04B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5.2.2.6  按照国家规定保存企业年金基金账户管理档案自账户管理合同终止之日起至少15年；</w:t>
      </w:r>
    </w:p>
    <w:p w14:paraId="503837A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5.2.2.7  承担法律法规规定及账户管理合同约定的其他职责。</w:t>
      </w:r>
    </w:p>
    <w:p w14:paraId="17BCB51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5.2.3  受托人如兼任企业年金计划的账户管理人，其承担的账户管理职责详见《&lt;    企业年金计划受托管理合同&gt;账户管理补充条款》。</w:t>
      </w:r>
    </w:p>
    <w:p w14:paraId="3D7C645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  托管人的管理职责。</w:t>
      </w:r>
    </w:p>
    <w:p w14:paraId="6822126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5.3.1  受托人应当委托具备托管人资格的商业银行负责企业年金基金托管事务，并签订托管合同。托管人违反法律法规规定及本合同约定，并由此给企业年金基金财产造成损失的，托管人应当依法承担相关法律责任。</w:t>
      </w:r>
    </w:p>
    <w:p w14:paraId="7E29E1F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  托管人承担的托管职责包括：</w:t>
      </w:r>
    </w:p>
    <w:p w14:paraId="27CEE96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5.3.2.1  安全保管企业年金基金财产；</w:t>
      </w:r>
    </w:p>
    <w:p w14:paraId="47DC9CB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5.3.2.2  为企业年金基金财产开立资金账户及证券账户，用于企业年金基金的资金划拨及证券投资；</w:t>
      </w:r>
    </w:p>
    <w:p w14:paraId="7575B85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5.3.2.3  根据受托人的指令，接受委托人的企业年金缴费，向投资管理人划拨企业年金基金财产，向受益人支付企业年金待遇；</w:t>
      </w:r>
    </w:p>
    <w:p w14:paraId="402E4FA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5.3.2.4  依据受托人对投资管理人的授权，根据投资管理人投资指令，及时办理清算、交割等事宜；</w:t>
      </w:r>
    </w:p>
    <w:p w14:paraId="4BB2965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5.3.2.5  定期对企业年金基金财产进行会计核算和估值，监督投资管理人的投资运作；</w:t>
      </w:r>
    </w:p>
    <w:p w14:paraId="1D3EEEF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5.3.2.6  定期与账户管理人、投资管理人核对有关数据；</w:t>
      </w:r>
    </w:p>
    <w:p w14:paraId="12630FC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5.3.2.7  配合投资管理人完成投资管理风险准备金的提取和使用；</w:t>
      </w:r>
    </w:p>
    <w:p w14:paraId="7D6194D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5.3.2.8  按照规定监督投资管理人的投资运作，并定期向受托人报告投资监督情况；</w:t>
      </w:r>
    </w:p>
    <w:p w14:paraId="239801D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5.3.2.9  定期向受托人提交企业年金基金托管和财务报告，定期向有关监管部门提交开展企业年金基金托管业务情况的报告；</w:t>
      </w:r>
    </w:p>
    <w:p w14:paraId="198BEAE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5.3.2.10  按照国家规定保存企业年金基金托管业务活动记录、账册、报表和其他相关资料自托管合同终止之日起至少15年；</w:t>
      </w:r>
    </w:p>
    <w:p w14:paraId="27BE75A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5.3.2.11  承担法律法规规定及托管合同约定的其他事务。</w:t>
      </w:r>
    </w:p>
    <w:p w14:paraId="50B57A0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bookmarkStart w:id="146" w:name="_Toc196484079"/>
      <w:bookmarkStart w:id="147" w:name="_Toc311040990"/>
      <w:r>
        <w:rPr>
          <w:rFonts w:hint="eastAsia" w:ascii="仿宋" w:hAnsi="仿宋" w:eastAsia="仿宋"/>
          <w:bCs/>
          <w:color w:val="000000" w:themeColor="text1"/>
          <w:sz w:val="28"/>
          <w:szCs w:val="28"/>
          <w14:textFill>
            <w14:solidFill>
              <w14:schemeClr w14:val="tx1"/>
            </w14:solidFill>
          </w14:textFill>
        </w:rPr>
        <w:t>5.4  投资管理人的管理职责。</w:t>
      </w:r>
    </w:p>
    <w:p w14:paraId="5D17A5B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w:t>
      </w:r>
      <w:bookmarkEnd w:id="146"/>
      <w:bookmarkEnd w:id="147"/>
      <w:r>
        <w:rPr>
          <w:rFonts w:hint="eastAsia" w:ascii="仿宋" w:hAnsi="仿宋" w:eastAsia="仿宋"/>
          <w:bCs/>
          <w:color w:val="000000" w:themeColor="text1"/>
          <w:sz w:val="28"/>
          <w:szCs w:val="28"/>
          <w14:textFill>
            <w14:solidFill>
              <w14:schemeClr w14:val="tx1"/>
            </w14:solidFill>
          </w14:textFill>
        </w:rPr>
        <w:t>.1  受托人如委托具备投资管理人资格的金融机构负责企业年金基金投资管理事务，应当签订投资管理合同。投资管理人违反法律法规规定及本合同约定，并由此给企业年金基金财产造成损失的，投资管理人应当依法承担相关法律责任。</w:t>
      </w:r>
    </w:p>
    <w:p w14:paraId="6F3CBC9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5.4.2  投资管理人承担的投资管理职责包括：</w:t>
      </w:r>
    </w:p>
    <w:p w14:paraId="081BAA4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5.4.2.1  企业年金基金投资管理应当遵循谨慎、分散风险的原则，充分考虑企业年金基金财产的安全性、收益性和流动性，实行专业化管理；</w:t>
      </w:r>
    </w:p>
    <w:p w14:paraId="2860FD5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5.4.2.2  执行受托人制定的战略资产配置策略，接受受托人对投资管理人履职情况的监督以及投资管理业绩的考核和评估；</w:t>
      </w:r>
    </w:p>
    <w:p w14:paraId="2BE4341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5.4.2.3  保证企业年金基金财产独立于其固有财产及其管理的其他财产；</w:t>
      </w:r>
    </w:p>
    <w:p w14:paraId="6CAE703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5.4.2.4  及时与托管人核对企业年金基金会计核算和估值结果；</w:t>
      </w:r>
    </w:p>
    <w:p w14:paraId="7B144B2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5.4.2.5  建立企业年金基金投资管理风险准备金；</w:t>
      </w:r>
    </w:p>
    <w:p w14:paraId="5494924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5.4.2.6  定期向受托人提交企业年金基金投资管理报告；定期向有关监管部门提交开展企业年金基金投资管理业务情况的报告；</w:t>
      </w:r>
    </w:p>
    <w:p w14:paraId="62BB952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5.4.2.7  按照法律法规规定，代表委托投资资产行使委托投资资产所享有的股东权利、债券持有人权利、基金份额持有人权利等；</w:t>
      </w:r>
    </w:p>
    <w:p w14:paraId="5156460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5.4.2.8  按照国家规定保存企业年金基金财产会计凭证、会计账簿、年度财务会计报告和投资记录自投资管理合同终止之日起至少15年；</w:t>
      </w:r>
    </w:p>
    <w:p w14:paraId="75C91EE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5.4.2.9  承担法律法规规定及投资管理合同约定的其他职责。</w:t>
      </w:r>
    </w:p>
    <w:p w14:paraId="3FB2A19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5.4.3  受托人如兼任企业年金计划投资管理人，其承担投资管理职责详见《&lt;    企业年金计划受托管理合同&gt;投资管理补充条款》。</w:t>
      </w:r>
    </w:p>
    <w:p w14:paraId="42EED1E3">
      <w:pPr>
        <w:pStyle w:val="3"/>
        <w:numPr>
          <w:ilvl w:val="0"/>
          <w:numId w:val="5"/>
        </w:numPr>
        <w:ind w:left="0" w:firstLine="560"/>
        <w:jc w:val="center"/>
        <w:rPr>
          <w:rFonts w:ascii="仿宋" w:hAnsi="仿宋" w:cstheme="minorBidi"/>
          <w:b w:val="0"/>
          <w:bCs/>
          <w:szCs w:val="28"/>
        </w:rPr>
      </w:pPr>
      <w:bookmarkStart w:id="148" w:name="_Toc319932544"/>
      <w:bookmarkStart w:id="149" w:name="_Toc204689941"/>
      <w:bookmarkStart w:id="150" w:name="_Toc311040991"/>
      <w:r>
        <w:rPr>
          <w:rFonts w:hint="eastAsia" w:ascii="仿宋" w:hAnsi="仿宋" w:cstheme="minorBidi"/>
          <w:b w:val="0"/>
          <w:bCs/>
          <w:szCs w:val="28"/>
        </w:rPr>
        <w:t>企业年金的缴费、领取、转移与保留</w:t>
      </w:r>
      <w:bookmarkEnd w:id="148"/>
      <w:bookmarkEnd w:id="149"/>
    </w:p>
    <w:p w14:paraId="5EF6C0B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6.1  企业年金的缴费。</w:t>
      </w:r>
    </w:p>
    <w:p w14:paraId="3B4CF33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6.1.1  委托人应当按法律法规和企业年金方案规定的缴费来源、缴费比例、缴费方式进行缴费。</w:t>
      </w:r>
    </w:p>
    <w:p w14:paraId="121C708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6.1.2  委托人应当向受托人提供缴费信息，经受托人确认后提交账户管理人。</w:t>
      </w:r>
    </w:p>
    <w:p w14:paraId="6815F78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6.1.3  受托人或账户管理人将账户管理人依据缴费信息生成的缴费账单和缴费明细提交委托人确认。</w:t>
      </w:r>
    </w:p>
    <w:p w14:paraId="2DC60C5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6.1.4  缴费账单和缴费明细经委托人确认后，由受托人向托管人下达缴费收账通知。</w:t>
      </w:r>
    </w:p>
    <w:p w14:paraId="21D49A6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6.1.5  委托人根据缴费账单，将企业年金缴费汇入受托财产托管账户。</w:t>
      </w:r>
    </w:p>
    <w:p w14:paraId="74346D1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6.1.6  托管人按缴费收账通知核对实收缴费金额，核对一致后，通知受托人和账户管理人，由受托人向委托人书面确认为企业年金基金财产。若出现超缴或短缴，受托人及时通知委托人做相应处理。</w:t>
      </w:r>
    </w:p>
    <w:p w14:paraId="1A49AEA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  企业年金待遇的领取。</w:t>
      </w:r>
    </w:p>
    <w:p w14:paraId="17BDDF1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6.2.1  当受益人符合下列条件之一的，可以领取企业年金待遇：</w:t>
      </w:r>
    </w:p>
    <w:p w14:paraId="6A232A9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6.2.1.1  受益人办理退休手续，可一次性或分期领取；</w:t>
      </w:r>
    </w:p>
    <w:p w14:paraId="62261BD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6.2.1.2  受益人出境定居，一次性领取；</w:t>
      </w:r>
    </w:p>
    <w:p w14:paraId="6B07661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6.2.1.3  受益人身故，由其指定的身故受益人或法定继承人一次性领取；</w:t>
      </w:r>
    </w:p>
    <w:p w14:paraId="15E46FC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6.2.1.4  法律法规规定的其他可以领取的情形，其领取方式按照法律法规规定执行。</w:t>
      </w:r>
    </w:p>
    <w:p w14:paraId="77A0DCA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6.2.2  企业年金待遇领取的程序。</w:t>
      </w:r>
    </w:p>
    <w:p w14:paraId="713E488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6.2.2.1  受益人向委托人提出领取企业年金待遇的申请。</w:t>
      </w:r>
    </w:p>
    <w:p w14:paraId="7D70B30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6.2.2.2  委托人审核同意受益人的领取申请后，向受托人提交领取企业年金待遇申请。</w:t>
      </w:r>
    </w:p>
    <w:p w14:paraId="679069C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6.2.2.3  受托人审核同意委托人的领取申请后，通知账户管理人。</w:t>
      </w:r>
    </w:p>
    <w:p w14:paraId="2A37FD7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6.2.2.4  账户管理人计算个人账户权益，生成个人账户权益支付表，发送受托人和委托人确认。</w:t>
      </w:r>
    </w:p>
    <w:p w14:paraId="4102D0B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6.2.2.5  委托人对个人账户权益支付表进行确认后，通知受托人，受托人向托管人下达待遇支付指令，由托管人向受益人支付企业年金待遇。</w:t>
      </w:r>
    </w:p>
    <w:p w14:paraId="240CB45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6.3  个人账户权益的转移。</w:t>
      </w:r>
    </w:p>
    <w:p w14:paraId="166F8DF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受益人离职的，如新工作单位已经建立企业年金计划的，委托人应当向受托人提出申请将受益人个人账户权益转至新的企业年金计划。</w:t>
      </w:r>
    </w:p>
    <w:p w14:paraId="50A5986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6.4  个人账户权益的保留。</w:t>
      </w:r>
    </w:p>
    <w:p w14:paraId="7BD40A7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6.4.1  受益人离职的，如新工作单位尚未建立企业年金计划的，委托人应当按下列     方式可将受益人个人账户权益转至保留账户管理。</w:t>
      </w:r>
    </w:p>
    <w:p w14:paraId="10A37FA2">
      <w:pPr>
        <w:pStyle w:val="19"/>
        <w:spacing w:line="560" w:lineRule="exact"/>
        <w:ind w:firstLine="560" w:firstLineChars="200"/>
        <w:rPr>
          <w:rFonts w:ascii="仿宋" w:hAnsi="仿宋" w:eastAsia="仿宋" w:cstheme="minorBidi"/>
          <w:bCs/>
          <w:color w:val="000000" w:themeColor="text1"/>
          <w:kern w:val="2"/>
          <w:sz w:val="28"/>
          <w:szCs w:val="28"/>
          <w14:textFill>
            <w14:solidFill>
              <w14:schemeClr w14:val="tx1"/>
            </w14:solidFill>
          </w14:textFill>
          <w14:ligatures w14:val="standardContextual"/>
        </w:rPr>
      </w:pPr>
      <w:r>
        <w:rPr>
          <w:rFonts w:hint="eastAsia" w:ascii="仿宋" w:hAnsi="仿宋" w:eastAsia="仿宋" w:cstheme="minorBidi"/>
          <w:bCs/>
          <w:color w:val="000000" w:themeColor="text1"/>
          <w:kern w:val="2"/>
          <w:sz w:val="28"/>
          <w:szCs w:val="28"/>
          <w14:textFill>
            <w14:solidFill>
              <w14:schemeClr w14:val="tx1"/>
            </w14:solidFill>
          </w14:textFill>
          <w14:ligatures w14:val="standardContextual"/>
        </w:rPr>
        <w:t>6.4.1.1  委托人向受托人提出申请将受益人个人账户权益在企业年金计划下建立保留账户管理；</w:t>
      </w:r>
    </w:p>
    <w:p w14:paraId="6B642711">
      <w:pPr>
        <w:pStyle w:val="19"/>
        <w:spacing w:line="560" w:lineRule="exact"/>
        <w:ind w:firstLine="560" w:firstLineChars="200"/>
        <w:rPr>
          <w:rFonts w:ascii="仿宋" w:hAnsi="仿宋" w:eastAsia="仿宋" w:cstheme="minorBidi"/>
          <w:bCs/>
          <w:color w:val="000000" w:themeColor="text1"/>
          <w:kern w:val="2"/>
          <w:sz w:val="28"/>
          <w:szCs w:val="28"/>
          <w14:textFill>
            <w14:solidFill>
              <w14:schemeClr w14:val="tx1"/>
            </w14:solidFill>
          </w14:textFill>
          <w14:ligatures w14:val="standardContextual"/>
        </w:rPr>
      </w:pPr>
      <w:r>
        <w:rPr>
          <w:rFonts w:hint="eastAsia" w:ascii="仿宋" w:hAnsi="仿宋" w:eastAsia="仿宋" w:cstheme="minorBidi"/>
          <w:bCs/>
          <w:color w:val="000000" w:themeColor="text1"/>
          <w:kern w:val="2"/>
          <w:sz w:val="28"/>
          <w:szCs w:val="28"/>
          <w14:textFill>
            <w14:solidFill>
              <w14:schemeClr w14:val="tx1"/>
            </w14:solidFill>
          </w14:textFill>
          <w14:ligatures w14:val="standardContextual"/>
        </w:rPr>
        <w:t>6.4.1.2  委托人向受托人提出申请将受益人个人账户权益转至受托人发起的企业年金集合计划下的保留账户统一管理。</w:t>
      </w:r>
    </w:p>
    <w:p w14:paraId="7C3BA05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6.4.2  企业年金计划终止时，受益人个人账户权益转入受托人发起的企业年金集合计划下的保留账户统一管理。</w:t>
      </w:r>
    </w:p>
    <w:p w14:paraId="16845D9E">
      <w:pPr>
        <w:pStyle w:val="3"/>
        <w:numPr>
          <w:ilvl w:val="0"/>
          <w:numId w:val="5"/>
        </w:numPr>
        <w:ind w:left="0" w:firstLine="560"/>
        <w:jc w:val="center"/>
        <w:rPr>
          <w:rFonts w:ascii="仿宋" w:hAnsi="仿宋" w:cstheme="minorBidi"/>
          <w:b w:val="0"/>
          <w:bCs/>
          <w:szCs w:val="28"/>
        </w:rPr>
      </w:pPr>
      <w:bookmarkStart w:id="151" w:name="_Toc319932545"/>
      <w:bookmarkStart w:id="152" w:name="_Toc204689942"/>
      <w:r>
        <w:rPr>
          <w:rFonts w:hint="eastAsia" w:ascii="仿宋" w:hAnsi="仿宋" w:cstheme="minorBidi"/>
          <w:b w:val="0"/>
          <w:bCs/>
          <w:szCs w:val="28"/>
        </w:rPr>
        <w:t>投资政策</w:t>
      </w:r>
      <w:bookmarkEnd w:id="151"/>
      <w:bookmarkEnd w:id="152"/>
    </w:p>
    <w:p w14:paraId="6F0828A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7.1  受托人根据法律法规规定制定企业年金基金投资政策。</w:t>
      </w:r>
    </w:p>
    <w:p w14:paraId="270D4A1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7.1.1  企业年金基金财产限于境内投资，投资范围包括银行存款、国债、中央银行票据、债券回购、万能保险产品、投资连结保险产品、证券投资基金、股票，以及信用等级在投资级以上的金融债、企业(公司)债、可转换债(含分离交易可转换债)、短期融资券和中期票据等金融产品。</w:t>
      </w:r>
    </w:p>
    <w:p w14:paraId="43E12FA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7.1.2  企业年金基金财产以投资组合为单位按照公允价值计算应当符合下列规定：</w:t>
      </w:r>
    </w:p>
    <w:p w14:paraId="30EDC97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7.1.2.1  投资银行活期存款、中央银行票据、债券回购等流动性产品以及货币市场基金的比例，不得低于投资组合企业年金基金财产净值的5%；清算备付金、证券清算款以及一级市场证券申购资金视为流动性资产；投资债券正回购的比例不得高于投资组合企业年金基金财产净值的40%；</w:t>
      </w:r>
    </w:p>
    <w:p w14:paraId="2D56FC7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7.1.2.2  投资银行定期存款、协议存款、国债、金融债、企业（公司）债、短期融资券、中期票据、万能保险产品等固定收益类产品以及可转换债（含分离交易可转换债）、债券基全、技资连结保险产品（股票投资比例不高于30%）的比例，不得高于投资组合企业年金基金财产净值的95%；</w:t>
      </w:r>
    </w:p>
    <w:p w14:paraId="7D1FAB4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7.1.2.3  投资股票等权益类产品以及股票基金、混合基金、投资连结保险产品（股票投资比例高于或者等于30%）的比例，不得高于投资组合企业年金基金财产净值的30%。其中，企业年金基金不得直接投资于权证，但因投资股票、分离交易可转换债等投资品种而衍生获得的权证，应当在权证上市交易之日起10个交易日内卖出。</w:t>
      </w:r>
    </w:p>
    <w:p w14:paraId="42FACB6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7.1.3  企业年金基金单个投资组合的企业年金基金财产，投资于一家企业所发行的股票，单期发行的同一品种短期融资券、中期票据、金融债、企业（公司）债、可转换债（含分离交易可转换债），单只证券投资基金，单个万能保险产品或者投资连结保险产品，分别不得超过该企业上述证券发行量、该基金份额或者该保险产品资产管理规模的5%；按照公允价值计算，也不得超过该投资组合企业年金基金财产净值的10%。单个投资组合的企业年金基金财产，投资于经备案的单只养老金产品，不得超过该投资组合企业年金基金财产净值的30%，不受上述10%规定的限制。</w:t>
      </w:r>
    </w:p>
    <w:p w14:paraId="2A5973E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7.2  在法律法规规定范围内，委托人与受托人协商一致，可以修订企业年金基金投资政策，但必须考虑受托人、托管人和投资管理人调整投资政策及投资监督所需必要时间。</w:t>
      </w:r>
    </w:p>
    <w:p w14:paraId="44C01DB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7.3  企业年金计划投资组合详见投资管理合同。</w:t>
      </w:r>
    </w:p>
    <w:p w14:paraId="1940C32F">
      <w:pPr>
        <w:pStyle w:val="3"/>
        <w:numPr>
          <w:ilvl w:val="0"/>
          <w:numId w:val="5"/>
        </w:numPr>
        <w:ind w:left="0" w:firstLine="560"/>
        <w:jc w:val="center"/>
        <w:rPr>
          <w:rFonts w:ascii="仿宋" w:hAnsi="仿宋" w:cstheme="minorBidi"/>
          <w:b w:val="0"/>
          <w:bCs/>
          <w:szCs w:val="28"/>
        </w:rPr>
      </w:pPr>
      <w:bookmarkStart w:id="153" w:name="_Toc204689943"/>
      <w:bookmarkStart w:id="154" w:name="_Toc319932546"/>
      <w:r>
        <w:rPr>
          <w:rFonts w:hint="eastAsia" w:ascii="仿宋" w:hAnsi="仿宋" w:cstheme="minorBidi"/>
          <w:b w:val="0"/>
          <w:bCs/>
          <w:szCs w:val="28"/>
        </w:rPr>
        <w:t>投资管理风险准备金</w:t>
      </w:r>
      <w:bookmarkEnd w:id="150"/>
      <w:bookmarkEnd w:id="153"/>
      <w:bookmarkEnd w:id="154"/>
    </w:p>
    <w:p w14:paraId="648CA36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8.1  投资管理人按照法律法规规定在托管人处开立投资管理风险准备金账户，并为每个投资组合建立子账户。除法律法规规定或投资管理合同约定外，投资管理人在投资管理合同终止前不得动用或支取投资管理风险准备金。</w:t>
      </w:r>
    </w:p>
    <w:p w14:paraId="0265DBF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8.2  投资管理人从投资管理当期收取的投资管理费中，提取20%作为投资管理风险准备金存入投资管理风险准备金账户，专项用于弥补投资管理合同终止时所管理投资组合的企业年金基金资产的当期投资亏损。单个投资组合的投资管理风险准备金余额达到投资组合基金财产净值的10%时可不再提取。</w:t>
      </w:r>
    </w:p>
    <w:p w14:paraId="18B4975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8.3  投资管理合同终止时，如所管理投资组合基金财产净值低于当期委托投资资产的，投资管理人应当用风险准备金弥补该时点的当期委托投资资产亏损，直至该投资组合风险准备金使用完毕；如所管理投资组合的企业年金基金当期委托投资资产没有发生投资亏损或者风险准备金弥补后有剩余的，风险准备金划归投资管理人。受托人在投资管理合同期限结束后的一个季度内，将风险准备金划归投资管理人。</w:t>
      </w:r>
    </w:p>
    <w:p w14:paraId="631F44D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8.4  投资管理合同到期顺延或者到期续签的，按照第8.3款的约定将风险准备金划归投资管理人。</w:t>
      </w:r>
    </w:p>
    <w:p w14:paraId="41A1DC1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8.5  投资管理风险准备金由投资管理人进行管理，可以投资于银行存款、国债等高流动性、低风险金融产品。风险准备金投资产生的收益，应当纳入投资管理风险准备金管理。</w:t>
      </w:r>
    </w:p>
    <w:p w14:paraId="7984C686">
      <w:pPr>
        <w:pStyle w:val="3"/>
        <w:numPr>
          <w:ilvl w:val="0"/>
          <w:numId w:val="5"/>
        </w:numPr>
        <w:ind w:left="0" w:firstLine="560"/>
        <w:jc w:val="center"/>
        <w:rPr>
          <w:rFonts w:ascii="仿宋" w:hAnsi="仿宋" w:cstheme="minorBidi"/>
          <w:b w:val="0"/>
          <w:bCs/>
          <w:szCs w:val="28"/>
        </w:rPr>
      </w:pPr>
      <w:bookmarkStart w:id="155" w:name="_Toc196484080"/>
      <w:bookmarkStart w:id="156" w:name="_Toc178058133"/>
      <w:bookmarkStart w:id="157" w:name="_Toc196398442"/>
      <w:bookmarkStart w:id="158" w:name="_Toc311040992"/>
      <w:bookmarkStart w:id="159" w:name="_Toc204689944"/>
      <w:bookmarkStart w:id="160" w:name="_Toc319932547"/>
      <w:r>
        <w:rPr>
          <w:rFonts w:hint="eastAsia" w:ascii="仿宋" w:hAnsi="仿宋" w:cstheme="minorBidi"/>
          <w:b w:val="0"/>
          <w:bCs/>
          <w:szCs w:val="28"/>
        </w:rPr>
        <w:t>企业年金</w:t>
      </w:r>
      <w:bookmarkEnd w:id="155"/>
      <w:bookmarkEnd w:id="156"/>
      <w:bookmarkEnd w:id="157"/>
      <w:r>
        <w:rPr>
          <w:rFonts w:hint="eastAsia" w:ascii="仿宋" w:hAnsi="仿宋" w:cstheme="minorBidi"/>
          <w:b w:val="0"/>
          <w:bCs/>
          <w:szCs w:val="28"/>
        </w:rPr>
        <w:t>基金财产</w:t>
      </w:r>
      <w:bookmarkEnd w:id="158"/>
      <w:r>
        <w:rPr>
          <w:rFonts w:hint="eastAsia" w:ascii="仿宋" w:hAnsi="仿宋" w:cstheme="minorBidi"/>
          <w:b w:val="0"/>
          <w:bCs/>
          <w:szCs w:val="28"/>
        </w:rPr>
        <w:t>的核算</w:t>
      </w:r>
      <w:bookmarkEnd w:id="159"/>
      <w:bookmarkEnd w:id="160"/>
    </w:p>
    <w:p w14:paraId="75C10C0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9.1  企业年金基金财产。</w:t>
      </w:r>
    </w:p>
    <w:p w14:paraId="09F71A1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9.1.1  企业年金基金资产。</w:t>
      </w:r>
    </w:p>
    <w:p w14:paraId="67B000E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指企业年金缴费及运营形成的各项资产，包括：货币资金及其应计利息、应收证券清算款、应收股利、买入返售证券交易资产、其他应收款、债券投资及其应计利息、基金投资、股票投资、其他投资、其他资产等。</w:t>
      </w:r>
    </w:p>
    <w:p w14:paraId="66205C8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9.1.2  企业年金基金负债。</w:t>
      </w:r>
    </w:p>
    <w:p w14:paraId="0289F45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指企业年金基金运营形成的各项负债，包括：应付证券清算款、应付受益人待遇、应付受托人管理费、应付托管人管理费、应付投资管理人管理费、应交税金、卖出回购证券款、应付利息、应付佣金和其他应付款等。</w:t>
      </w:r>
    </w:p>
    <w:p w14:paraId="016EA26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9.1.3  企业年金基金财产净值。</w:t>
      </w:r>
    </w:p>
    <w:p w14:paraId="0C589D7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指企业年金基金资产减去负债后的余额。</w:t>
      </w:r>
    </w:p>
    <w:p w14:paraId="3E9CAA9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9.1.4  企业年金基金财产的收益分配。</w:t>
      </w:r>
    </w:p>
    <w:p w14:paraId="1B4A73C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企业年金基金投资净收益，全部归属于企业年金基金。账户管理人采用份额计量方式进行账户管理，依据企业年金基金财产净值计算基金份额净值，按日或按周足额记入企业账户和个人账户。</w:t>
      </w:r>
    </w:p>
    <w:p w14:paraId="1248796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bookmarkStart w:id="161" w:name="_Toc196484082"/>
      <w:r>
        <w:rPr>
          <w:rFonts w:hint="eastAsia" w:ascii="仿宋" w:hAnsi="仿宋" w:eastAsia="仿宋"/>
          <w:bCs/>
          <w:color w:val="000000" w:themeColor="text1"/>
          <w:sz w:val="28"/>
          <w:szCs w:val="28"/>
          <w14:textFill>
            <w14:solidFill>
              <w14:schemeClr w14:val="tx1"/>
            </w14:solidFill>
          </w14:textFill>
        </w:rPr>
        <w:t>9.2  企业年金基金会计。</w:t>
      </w:r>
    </w:p>
    <w:p w14:paraId="0167262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9.2.1  会计年度为公历每年1月1日至12月31日。</w:t>
      </w:r>
    </w:p>
    <w:p w14:paraId="6D2FCB6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9.2.2  企业年金基金核算以人民币为记账本位币，以人民币元为记账单位。</w:t>
      </w:r>
    </w:p>
    <w:p w14:paraId="5D9A5C4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9.2.3  会计制度按照《企业会计准则第10号-企业年金基金》和《企业会计准则第22号-金融工具确认和计量》及修订后的相关会计准则，并参照《证券投资基金会计核算业务指引》等规定执行。</w:t>
      </w:r>
    </w:p>
    <w:p w14:paraId="05D3B1F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9.2.4  企业年金基金独立建账、独立核算。</w:t>
      </w:r>
    </w:p>
    <w:p w14:paraId="256023B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9.2.5  受托人委托托管人、投资管理人分别进行企业年金基金会计核算，并由托管人按照有关规定编制企业年金基金会计报表。</w:t>
      </w:r>
    </w:p>
    <w:p w14:paraId="7446A6B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9.3  企业年金基金财产估值。</w:t>
      </w:r>
    </w:p>
    <w:p w14:paraId="557619F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9.3.1  估值目的。</w:t>
      </w:r>
    </w:p>
    <w:p w14:paraId="2ECED2C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客观、准确地反映企业年金基金财产的价值。 </w:t>
      </w:r>
    </w:p>
    <w:p w14:paraId="4F79D38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9.3.2  估值日。</w:t>
      </w:r>
    </w:p>
    <w:p w14:paraId="0FB569D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估值日为交易日。</w:t>
      </w:r>
    </w:p>
    <w:p w14:paraId="3DAB327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9.3.3  估值对象。</w:t>
      </w:r>
    </w:p>
    <w:p w14:paraId="6BBC617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企业年金基金在法律法规规定的投资范围内运营取得的银行存款、国债和其他具有良好流动性的金融产品，包括中央银行票据、债券回购、万能保险产品、投资连结保险产品、证券投资基金、股票，以及信用等级在投资级以上的金融债、企业（公司）债、可转换债（含分离交易可转换债）、短期融资券和中期票据等金融产品。</w:t>
      </w:r>
    </w:p>
    <w:p w14:paraId="34F2EDD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9.3.4  估值方法。 </w:t>
      </w:r>
    </w:p>
    <w:p w14:paraId="669B172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企业年金基金财产的估值适用《企业会计准则第10号-企业年金基金》、《企业会计准则第22号-金融工具确认和计量》及修订后的相关会计准则，并参照《证券投资基金会计核算业务指引》等规定执行。</w:t>
      </w:r>
    </w:p>
    <w:p w14:paraId="66D479BA">
      <w:pPr>
        <w:pStyle w:val="3"/>
        <w:numPr>
          <w:ilvl w:val="0"/>
          <w:numId w:val="5"/>
        </w:numPr>
        <w:ind w:left="0" w:firstLine="560"/>
        <w:jc w:val="center"/>
        <w:rPr>
          <w:rFonts w:ascii="仿宋" w:hAnsi="仿宋" w:cstheme="minorBidi"/>
          <w:b w:val="0"/>
          <w:bCs/>
          <w:szCs w:val="28"/>
        </w:rPr>
      </w:pPr>
      <w:bookmarkStart w:id="162" w:name="_Toc319932548"/>
      <w:bookmarkStart w:id="163" w:name="_Toc204689945"/>
      <w:bookmarkStart w:id="164" w:name="_Toc311040995"/>
      <w:r>
        <w:rPr>
          <w:rFonts w:hint="eastAsia" w:ascii="仿宋" w:hAnsi="仿宋" w:cstheme="minorBidi"/>
          <w:b w:val="0"/>
          <w:bCs/>
          <w:szCs w:val="28"/>
        </w:rPr>
        <w:t>企业年金基金的费用</w:t>
      </w:r>
      <w:bookmarkEnd w:id="161"/>
      <w:bookmarkEnd w:id="162"/>
      <w:bookmarkEnd w:id="163"/>
      <w:bookmarkEnd w:id="164"/>
    </w:p>
    <w:p w14:paraId="004EBBC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10.1  企业年金基金费用包括受托管理费、托管费、账户管理费、投资管理费、交易费用、资金划拨费用、开户费用、审计费、清算费用以及法律法规规定的其他费用。</w:t>
      </w:r>
    </w:p>
    <w:p w14:paraId="67856CC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  企业年金基金费用的计提方法、计提标准和支付方式</w:t>
      </w:r>
    </w:p>
    <w:p w14:paraId="04ABA2D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10.2.1  受托管理费。</w:t>
      </w:r>
    </w:p>
    <w:p w14:paraId="47937E2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10.2.1.1  受托管理费按受托管理的企业年金基金财产净值的    %年费率计提。</w:t>
      </w:r>
    </w:p>
    <w:p w14:paraId="005A984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10.2.1.2  受托管理费计算方法：</w:t>
      </w:r>
    </w:p>
    <w:p w14:paraId="2E90789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T= E1</w:t>
      </w:r>
      <w:r>
        <w:rPr>
          <w:rFonts w:hint="eastAsia" w:ascii="仿宋" w:hAnsi="仿宋" w:eastAsia="仿宋"/>
          <w:bCs/>
          <w:color w:val="000000" w:themeColor="text1"/>
          <w:sz w:val="28"/>
          <w:szCs w:val="28"/>
          <w14:textFill>
            <w14:solidFill>
              <w14:schemeClr w14:val="tx1"/>
            </w14:solidFill>
          </w14:textFill>
        </w:rPr>
        <w:t>×</w:t>
      </w:r>
      <w:r>
        <w:rPr>
          <w:rFonts w:ascii="仿宋" w:hAnsi="仿宋" w:eastAsia="仿宋"/>
          <w:bCs/>
          <w:color w:val="000000" w:themeColor="text1"/>
          <w:sz w:val="28"/>
          <w:szCs w:val="28"/>
          <w14:textFill>
            <w14:solidFill>
              <w14:schemeClr w14:val="tx1"/>
            </w14:solidFill>
          </w14:textFill>
        </w:rPr>
        <w:t>R/</w:t>
      </w:r>
      <w:r>
        <w:rPr>
          <w:rFonts w:hint="eastAsia" w:ascii="仿宋" w:hAnsi="仿宋" w:eastAsia="仿宋"/>
          <w:bCs/>
          <w:color w:val="000000" w:themeColor="text1"/>
          <w:sz w:val="28"/>
          <w:szCs w:val="28"/>
          <w14:textFill>
            <w14:solidFill>
              <w14:schemeClr w14:val="tx1"/>
            </w14:solidFill>
          </w14:textFill>
        </w:rPr>
        <w:t>当年实际天数</w:t>
      </w:r>
    </w:p>
    <w:p w14:paraId="776E22E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T</w:t>
      </w:r>
      <w:r>
        <w:rPr>
          <w:rFonts w:hint="eastAsia" w:ascii="仿宋" w:hAnsi="仿宋" w:eastAsia="仿宋"/>
          <w:bCs/>
          <w:color w:val="000000" w:themeColor="text1"/>
          <w:sz w:val="28"/>
          <w:szCs w:val="28"/>
          <w14:textFill>
            <w14:solidFill>
              <w14:schemeClr w14:val="tx1"/>
            </w14:solidFill>
          </w14:textFill>
        </w:rPr>
        <w:t>：每日应计提的受托管理费；</w:t>
      </w:r>
    </w:p>
    <w:p w14:paraId="573EB49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E1</w:t>
      </w:r>
      <w:r>
        <w:rPr>
          <w:rFonts w:hint="eastAsia" w:ascii="仿宋" w:hAnsi="仿宋" w:eastAsia="仿宋"/>
          <w:bCs/>
          <w:color w:val="000000" w:themeColor="text1"/>
          <w:sz w:val="28"/>
          <w:szCs w:val="28"/>
          <w14:textFill>
            <w14:solidFill>
              <w14:schemeClr w14:val="tx1"/>
            </w14:solidFill>
          </w14:textFill>
        </w:rPr>
        <w:t>：前一日受托管理的企业年金基金财产净值（首日按照当日资产计提或首日不计提）；</w:t>
      </w:r>
    </w:p>
    <w:p w14:paraId="1BA1E9D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R</w:t>
      </w:r>
      <w:r>
        <w:rPr>
          <w:rFonts w:hint="eastAsia" w:ascii="仿宋" w:hAnsi="仿宋" w:eastAsia="仿宋"/>
          <w:bCs/>
          <w:color w:val="000000" w:themeColor="text1"/>
          <w:sz w:val="28"/>
          <w:szCs w:val="28"/>
          <w14:textFill>
            <w14:solidFill>
              <w14:schemeClr w14:val="tx1"/>
            </w14:solidFill>
          </w14:textFill>
        </w:rPr>
        <w:t>：本合同约定的受托管理费年费率。</w:t>
      </w:r>
    </w:p>
    <w:p w14:paraId="2D944AF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10.2.1.3  受托管理费每日计提，逐日累计，按季支付。</w:t>
      </w:r>
    </w:p>
    <w:p w14:paraId="2D0D0DF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10.2.2  账户管理费。</w:t>
      </w:r>
    </w:p>
    <w:p w14:paraId="68DCCE6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10.2.2.1  委托人在职职工的个人账户的账户管理费按照每人的个人账户每月     元，由委托人支付给账户管理人。每期企业年金基金账户管理费＝∑月个人账户数×账户管理费收费标准，其中“月个人账户数</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以月末个人账户户数为准，自人力资源社会保障行政部门出具企业年金计划确认函的当月开始计算并收取账户管理费。</w:t>
      </w:r>
    </w:p>
    <w:p w14:paraId="79E86A2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10.2.2.2  委托人退休职工的退休账户的账户管理费按照每人的个人账户每月     元，应当按下列     方式支付：</w:t>
      </w:r>
    </w:p>
    <w:p w14:paraId="643CBD8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10.2.2.2.1  由委托人支付给账户管理人。</w:t>
      </w:r>
    </w:p>
    <w:p w14:paraId="09406F0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10.2.2.2.2  由职工本人承担，从其个人账户中扣除。</w:t>
      </w:r>
    </w:p>
    <w:p w14:paraId="07EFA70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10.2.2.3  委托人离职职工的保留账户的账户管理费按照每人的个人账户每月     元，应当按下列     方式支付：</w:t>
      </w:r>
    </w:p>
    <w:p w14:paraId="0FE852D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10.2.2.3.1  由委托人支付给账户管理人。</w:t>
      </w:r>
    </w:p>
    <w:p w14:paraId="5EBF205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10.2.2.3.2  由职工本人承担，从其个人账户中扣除。</w:t>
      </w:r>
    </w:p>
    <w:p w14:paraId="65490E8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10.2.2.4  委托人按季支付账户管理费。账户管理人将账户管理费通知单发送给委托人，委托人应当在收到账户管理费通知单后及时将账户管理费足额付至账户管理人指定的银行账户。</w:t>
      </w:r>
    </w:p>
    <w:p w14:paraId="3EBE8E0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10.2.2.5  职工本人承担的账户管理费，从其个人账户中扣除，扣除的具体方式可在操作备忘录等补充协议中约定。</w:t>
      </w:r>
    </w:p>
    <w:p w14:paraId="2F5CA07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10.2.2.6  委托人违反本合同约定，逾期30日仍未足额支付账户管理费，账户管理人有权停止向委托人及受益人提供企业年金计划信息披露及信息查询服务。逾期时间自账户管理费最后支付时限届满次日起算。</w:t>
      </w:r>
    </w:p>
    <w:p w14:paraId="0F84552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10.2.3  托管费。</w:t>
      </w:r>
    </w:p>
    <w:p w14:paraId="62C3E99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10.2.3.1  托管费按托管的企业年金基金财产净值的    %年费率计提。</w:t>
      </w:r>
    </w:p>
    <w:p w14:paraId="10E66FE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10.2.3.2  托管费计算方式：</w:t>
      </w:r>
    </w:p>
    <w:p w14:paraId="735F9D0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C=E2×S/</w:t>
      </w:r>
      <w:r>
        <w:rPr>
          <w:rFonts w:hint="eastAsia" w:ascii="仿宋" w:hAnsi="仿宋" w:eastAsia="仿宋"/>
          <w:bCs/>
          <w:color w:val="000000" w:themeColor="text1"/>
          <w:sz w:val="28"/>
          <w:szCs w:val="28"/>
          <w14:textFill>
            <w14:solidFill>
              <w14:schemeClr w14:val="tx1"/>
            </w14:solidFill>
          </w14:textFill>
        </w:rPr>
        <w:t>当年实际天数</w:t>
      </w:r>
    </w:p>
    <w:p w14:paraId="3618D50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C</w:t>
      </w:r>
      <w:r>
        <w:rPr>
          <w:rFonts w:hint="eastAsia" w:ascii="仿宋" w:hAnsi="仿宋" w:eastAsia="仿宋"/>
          <w:bCs/>
          <w:color w:val="000000" w:themeColor="text1"/>
          <w:sz w:val="28"/>
          <w:szCs w:val="28"/>
          <w14:textFill>
            <w14:solidFill>
              <w14:schemeClr w14:val="tx1"/>
            </w14:solidFill>
          </w14:textFill>
        </w:rPr>
        <w:t>：每日应计提的托管费；</w:t>
      </w:r>
    </w:p>
    <w:p w14:paraId="71B1A7E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E2</w:t>
      </w:r>
      <w:r>
        <w:rPr>
          <w:rFonts w:hint="eastAsia" w:ascii="仿宋" w:hAnsi="仿宋" w:eastAsia="仿宋"/>
          <w:bCs/>
          <w:color w:val="000000" w:themeColor="text1"/>
          <w:sz w:val="28"/>
          <w:szCs w:val="28"/>
          <w14:textFill>
            <w14:solidFill>
              <w14:schemeClr w14:val="tx1"/>
            </w14:solidFill>
          </w14:textFill>
        </w:rPr>
        <w:t>：前一日托管的企业年金基金财产净值（首日按照当日资产计提或首日不计提）；</w:t>
      </w:r>
    </w:p>
    <w:p w14:paraId="4782A5B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S</w:t>
      </w:r>
      <w:r>
        <w:rPr>
          <w:rFonts w:hint="eastAsia" w:ascii="仿宋" w:hAnsi="仿宋" w:eastAsia="仿宋"/>
          <w:bCs/>
          <w:color w:val="000000" w:themeColor="text1"/>
          <w:sz w:val="28"/>
          <w:szCs w:val="28"/>
          <w14:textFill>
            <w14:solidFill>
              <w14:schemeClr w14:val="tx1"/>
            </w14:solidFill>
          </w14:textFill>
        </w:rPr>
        <w:t>：本合同约定的托管费年费率。</w:t>
      </w:r>
    </w:p>
    <w:p w14:paraId="7A1BB62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10.2.3.3  托管费每日计提，逐日累计，按季支付。</w:t>
      </w:r>
    </w:p>
    <w:p w14:paraId="1427756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10.2.4  投资管理费。</w:t>
      </w:r>
    </w:p>
    <w:p w14:paraId="48D06AE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10.2.4.1  固定管理费。</w:t>
      </w:r>
    </w:p>
    <w:p w14:paraId="7EA2025F">
      <w:pPr>
        <w:pStyle w:val="16"/>
        <w:spacing w:after="0" w:line="560" w:lineRule="exact"/>
        <w:ind w:left="0" w:right="216" w:rightChars="98"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10.2.4.1.1  投资管理费按投资管理的企业年金基金财产净</w:t>
      </w:r>
    </w:p>
    <w:p w14:paraId="2841EA47">
      <w:pPr>
        <w:pStyle w:val="16"/>
        <w:spacing w:after="0" w:line="560" w:lineRule="exact"/>
        <w:ind w:left="0" w:right="216" w:rightChars="98"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值的   %年费率计提。</w:t>
      </w:r>
    </w:p>
    <w:p w14:paraId="03C571B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10.2.4.1.2  投资管理费计算方式：</w:t>
      </w:r>
    </w:p>
    <w:p w14:paraId="48A7939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I=E3×U/</w:t>
      </w:r>
      <w:r>
        <w:rPr>
          <w:rFonts w:hint="eastAsia" w:ascii="仿宋" w:hAnsi="仿宋" w:eastAsia="仿宋"/>
          <w:bCs/>
          <w:color w:val="000000" w:themeColor="text1"/>
          <w:sz w:val="28"/>
          <w:szCs w:val="28"/>
          <w14:textFill>
            <w14:solidFill>
              <w14:schemeClr w14:val="tx1"/>
            </w14:solidFill>
          </w14:textFill>
        </w:rPr>
        <w:t>当年实际天数</w:t>
      </w:r>
    </w:p>
    <w:p w14:paraId="5FD56D6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I</w:t>
      </w:r>
      <w:r>
        <w:rPr>
          <w:rFonts w:hint="eastAsia" w:ascii="仿宋" w:hAnsi="仿宋" w:eastAsia="仿宋"/>
          <w:bCs/>
          <w:color w:val="000000" w:themeColor="text1"/>
          <w:sz w:val="28"/>
          <w:szCs w:val="28"/>
          <w14:textFill>
            <w14:solidFill>
              <w14:schemeClr w14:val="tx1"/>
            </w14:solidFill>
          </w14:textFill>
        </w:rPr>
        <w:t>：每日应计提的投资管理费；</w:t>
      </w:r>
    </w:p>
    <w:p w14:paraId="19D3040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E3</w:t>
      </w:r>
      <w:r>
        <w:rPr>
          <w:rFonts w:hint="eastAsia" w:ascii="仿宋" w:hAnsi="仿宋" w:eastAsia="仿宋"/>
          <w:bCs/>
          <w:color w:val="000000" w:themeColor="text1"/>
          <w:sz w:val="28"/>
          <w:szCs w:val="28"/>
          <w14:textFill>
            <w14:solidFill>
              <w14:schemeClr w14:val="tx1"/>
            </w14:solidFill>
          </w14:textFill>
        </w:rPr>
        <w:t>：前一日投资管理的企业年金基金财产净值（首日按照当日资产计提或首日不计提）；</w:t>
      </w:r>
    </w:p>
    <w:p w14:paraId="4F4F355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U</w:t>
      </w:r>
      <w:r>
        <w:rPr>
          <w:rFonts w:hint="eastAsia" w:ascii="仿宋" w:hAnsi="仿宋" w:eastAsia="仿宋"/>
          <w:bCs/>
          <w:color w:val="000000" w:themeColor="text1"/>
          <w:sz w:val="28"/>
          <w:szCs w:val="28"/>
          <w14:textFill>
            <w14:solidFill>
              <w14:schemeClr w14:val="tx1"/>
            </w14:solidFill>
          </w14:textFill>
        </w:rPr>
        <w:t>：本合同约定的投资管理费年费率。</w:t>
      </w:r>
    </w:p>
    <w:p w14:paraId="2CBD796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10.2.4.1.3  投资管理费每日计提，逐日累计，按季支付。</w:t>
      </w:r>
    </w:p>
    <w:p w14:paraId="7BE6825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10.2.4.2  浮动管理费</w:t>
      </w:r>
    </w:p>
    <w:p w14:paraId="5522FFF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10.2.4.2.1  投资管理费为基本管理费加业绩报酬两部分。</w:t>
      </w:r>
    </w:p>
    <w:p w14:paraId="3AC3C31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10.2.4.2.2  基本管理费按投资管理的企业年金基金财产净值的    %年费率每日计提，逐日累计，按季支付。基本管理费计算方式如下：</w:t>
      </w:r>
    </w:p>
    <w:p w14:paraId="031F061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I=E3×U/</w:t>
      </w:r>
      <w:r>
        <w:rPr>
          <w:rFonts w:hint="eastAsia" w:ascii="仿宋" w:hAnsi="仿宋" w:eastAsia="仿宋"/>
          <w:bCs/>
          <w:color w:val="000000" w:themeColor="text1"/>
          <w:sz w:val="28"/>
          <w:szCs w:val="28"/>
          <w14:textFill>
            <w14:solidFill>
              <w14:schemeClr w14:val="tx1"/>
            </w14:solidFill>
          </w14:textFill>
        </w:rPr>
        <w:t>当年实际天数</w:t>
      </w:r>
    </w:p>
    <w:p w14:paraId="583992E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I</w:t>
      </w:r>
      <w:r>
        <w:rPr>
          <w:rFonts w:hint="eastAsia" w:ascii="仿宋" w:hAnsi="仿宋" w:eastAsia="仿宋"/>
          <w:bCs/>
          <w:color w:val="000000" w:themeColor="text1"/>
          <w:sz w:val="28"/>
          <w:szCs w:val="28"/>
          <w14:textFill>
            <w14:solidFill>
              <w14:schemeClr w14:val="tx1"/>
            </w14:solidFill>
          </w14:textFill>
        </w:rPr>
        <w:t>：每日应计提的基本管理费；</w:t>
      </w:r>
    </w:p>
    <w:p w14:paraId="33C6372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E3</w:t>
      </w:r>
      <w:r>
        <w:rPr>
          <w:rFonts w:hint="eastAsia" w:ascii="仿宋" w:hAnsi="仿宋" w:eastAsia="仿宋"/>
          <w:bCs/>
          <w:color w:val="000000" w:themeColor="text1"/>
          <w:sz w:val="28"/>
          <w:szCs w:val="28"/>
          <w14:textFill>
            <w14:solidFill>
              <w14:schemeClr w14:val="tx1"/>
            </w14:solidFill>
          </w14:textFill>
        </w:rPr>
        <w:t>：前一日投资管理的企业年金基金财产净值（首日按照当日资产计提或首日不计提）；</w:t>
      </w:r>
    </w:p>
    <w:p w14:paraId="563EFF0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U</w:t>
      </w:r>
      <w:r>
        <w:rPr>
          <w:rFonts w:hint="eastAsia" w:ascii="仿宋" w:hAnsi="仿宋" w:eastAsia="仿宋"/>
          <w:bCs/>
          <w:color w:val="000000" w:themeColor="text1"/>
          <w:sz w:val="28"/>
          <w:szCs w:val="28"/>
          <w14:textFill>
            <w14:solidFill>
              <w14:schemeClr w14:val="tx1"/>
            </w14:solidFill>
          </w14:textFill>
        </w:rPr>
        <w:t>：本合同约定的基本管理费年费率。</w:t>
      </w:r>
    </w:p>
    <w:p w14:paraId="49CB89C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10.2.4.2.3  业绩报酬按年计提，按年支付。每一会计年度如单个投资组合的委托投资资产期末资产净值超过按投资基准计算出的资产净值，对超过的部分提取业绩报酬，业绩报酬提取比例为    %，本协议约定的投资基准为     。业绩报酬的计算方法如下：</w:t>
      </w:r>
    </w:p>
    <w:p w14:paraId="2071CBB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业绩报酬</w:t>
      </w:r>
      <w:r>
        <w:rPr>
          <w:rFonts w:ascii="仿宋" w:hAnsi="仿宋" w:eastAsia="仿宋"/>
          <w:bCs/>
          <w:color w:val="000000" w:themeColor="text1"/>
          <w:sz w:val="28"/>
          <w:szCs w:val="28"/>
          <w14:textFill>
            <w14:solidFill>
              <w14:schemeClr w14:val="tx1"/>
            </w14:solidFill>
          </w14:textFill>
        </w:rPr>
        <w:t xml:space="preserve"> =  </w:t>
      </w:r>
      <w:r>
        <w:rPr>
          <w:rFonts w:ascii="仿宋" w:hAnsi="仿宋" w:eastAsia="仿宋"/>
          <w:bCs/>
          <w:color w:val="000000" w:themeColor="text1"/>
          <w:sz w:val="28"/>
          <w:szCs w:val="28"/>
          <w14:textFill>
            <w14:solidFill>
              <w14:schemeClr w14:val="tx1"/>
            </w14:solidFill>
          </w14:textFill>
        </w:rPr>
        <w:object>
          <v:shape id="_x0000_i1025" o:spt="75" type="#_x0000_t75" style="height:39.6pt;width:129.6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14:paraId="48A13AA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An</w:t>
      </w:r>
      <w:r>
        <w:rPr>
          <w:rFonts w:hint="eastAsia" w:ascii="仿宋" w:hAnsi="仿宋" w:eastAsia="仿宋"/>
          <w:bCs/>
          <w:color w:val="000000" w:themeColor="text1"/>
          <w:sz w:val="28"/>
          <w:szCs w:val="28"/>
          <w14:textFill>
            <w14:solidFill>
              <w14:schemeClr w14:val="tx1"/>
            </w14:solidFill>
          </w14:textFill>
        </w:rPr>
        <w:t>为当年委托投资资产运作管理结束日委托投资资产净值；</w:t>
      </w:r>
    </w:p>
    <w:p w14:paraId="6C54906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Bn</w:t>
      </w:r>
      <w:r>
        <w:rPr>
          <w:rFonts w:hint="eastAsia" w:ascii="仿宋" w:hAnsi="仿宋" w:eastAsia="仿宋"/>
          <w:bCs/>
          <w:color w:val="000000" w:themeColor="text1"/>
          <w:sz w:val="28"/>
          <w:szCs w:val="28"/>
          <w14:textFill>
            <w14:solidFill>
              <w14:schemeClr w14:val="tx1"/>
            </w14:solidFill>
          </w14:textFill>
        </w:rPr>
        <w:t>为当年末按投资基准计算的委托投资资产净值，其计算方法为：</w:t>
      </w:r>
    </w:p>
    <w:p w14:paraId="0333C66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object>
          <v:shape id="_x0000_i1026" o:spt="75" type="#_x0000_t75" style="height:31.8pt;width:148.8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p>
    <w:p w14:paraId="744F76A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Y</w:t>
      </w:r>
      <w:r>
        <w:rPr>
          <w:rFonts w:hint="eastAsia" w:ascii="仿宋" w:hAnsi="仿宋" w:eastAsia="仿宋"/>
          <w:bCs/>
          <w:color w:val="000000" w:themeColor="text1"/>
          <w:sz w:val="28"/>
          <w:szCs w:val="28"/>
          <w14:textFill>
            <w14:solidFill>
              <w14:schemeClr w14:val="tx1"/>
            </w14:solidFill>
          </w14:textFill>
        </w:rPr>
        <w:t>为业绩报酬的提取比例；</w:t>
      </w:r>
    </w:p>
    <w:p w14:paraId="2787833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C0</w:t>
      </w:r>
      <w:r>
        <w:rPr>
          <w:rFonts w:hint="eastAsia" w:ascii="仿宋" w:hAnsi="仿宋" w:eastAsia="仿宋"/>
          <w:bCs/>
          <w:color w:val="000000" w:themeColor="text1"/>
          <w:sz w:val="28"/>
          <w:szCs w:val="28"/>
          <w14:textFill>
            <w14:solidFill>
              <w14:schemeClr w14:val="tx1"/>
            </w14:solidFill>
          </w14:textFill>
        </w:rPr>
        <w:t>——当年年初委托投资资产净值，即当年划入投资组合托管账户的首笔资金净值或者上一年年末委托投资资产净值；</w:t>
      </w:r>
    </w:p>
    <w:p w14:paraId="14C2B04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Ct</w:t>
      </w:r>
      <w:r>
        <w:rPr>
          <w:rFonts w:hint="eastAsia" w:ascii="仿宋" w:hAnsi="仿宋" w:eastAsia="仿宋"/>
          <w:bCs/>
          <w:color w:val="000000" w:themeColor="text1"/>
          <w:sz w:val="28"/>
          <w:szCs w:val="28"/>
          <w14:textFill>
            <w14:solidFill>
              <w14:schemeClr w14:val="tx1"/>
            </w14:solidFill>
          </w14:textFill>
        </w:rPr>
        <w:t>——第</w:t>
      </w:r>
      <w:r>
        <w:rPr>
          <w:rFonts w:ascii="仿宋" w:hAnsi="仿宋" w:eastAsia="仿宋"/>
          <w:bCs/>
          <w:color w:val="000000" w:themeColor="text1"/>
          <w:sz w:val="28"/>
          <w:szCs w:val="28"/>
          <w14:textFill>
            <w14:solidFill>
              <w14:schemeClr w14:val="tx1"/>
            </w14:solidFill>
          </w14:textFill>
        </w:rPr>
        <w:t>t</w:t>
      </w:r>
      <w:r>
        <w:rPr>
          <w:rFonts w:hint="eastAsia" w:ascii="仿宋" w:hAnsi="仿宋" w:eastAsia="仿宋"/>
          <w:bCs/>
          <w:color w:val="000000" w:themeColor="text1"/>
          <w:sz w:val="28"/>
          <w:szCs w:val="28"/>
          <w14:textFill>
            <w14:solidFill>
              <w14:schemeClr w14:val="tx1"/>
            </w14:solidFill>
          </w14:textFill>
        </w:rPr>
        <w:t>笔现金流量净额（仅包括追加或减少委托投资资产额度所产生的现金流量，不包括基金运营的资金流动，追加委托投资资产时</w:t>
      </w:r>
      <w:r>
        <w:rPr>
          <w:rFonts w:ascii="仿宋" w:hAnsi="仿宋" w:eastAsia="仿宋"/>
          <w:bCs/>
          <w:color w:val="000000" w:themeColor="text1"/>
          <w:sz w:val="28"/>
          <w:szCs w:val="28"/>
          <w14:textFill>
            <w14:solidFill>
              <w14:schemeClr w14:val="tx1"/>
            </w14:solidFill>
          </w14:textFill>
        </w:rPr>
        <w:t>Ct</w:t>
      </w:r>
      <w:r>
        <w:rPr>
          <w:rFonts w:hint="eastAsia" w:ascii="仿宋" w:hAnsi="仿宋" w:eastAsia="仿宋"/>
          <w:bCs/>
          <w:color w:val="000000" w:themeColor="text1"/>
          <w:sz w:val="28"/>
          <w:szCs w:val="28"/>
          <w14:textFill>
            <w14:solidFill>
              <w14:schemeClr w14:val="tx1"/>
            </w14:solidFill>
          </w14:textFill>
        </w:rPr>
        <w:t>为正值，减少委托投资资产时</w:t>
      </w:r>
      <w:r>
        <w:rPr>
          <w:rFonts w:ascii="仿宋" w:hAnsi="仿宋" w:eastAsia="仿宋"/>
          <w:bCs/>
          <w:color w:val="000000" w:themeColor="text1"/>
          <w:sz w:val="28"/>
          <w:szCs w:val="28"/>
          <w14:textFill>
            <w14:solidFill>
              <w14:schemeClr w14:val="tx1"/>
            </w14:solidFill>
          </w14:textFill>
        </w:rPr>
        <w:t>Ct</w:t>
      </w:r>
      <w:r>
        <w:rPr>
          <w:rFonts w:hint="eastAsia" w:ascii="仿宋" w:hAnsi="仿宋" w:eastAsia="仿宋"/>
          <w:bCs/>
          <w:color w:val="000000" w:themeColor="text1"/>
          <w:sz w:val="28"/>
          <w:szCs w:val="28"/>
          <w14:textFill>
            <w14:solidFill>
              <w14:schemeClr w14:val="tx1"/>
            </w14:solidFill>
          </w14:textFill>
        </w:rPr>
        <w:t>为负值）；</w:t>
      </w:r>
    </w:p>
    <w:p w14:paraId="0BF1439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Dt</w:t>
      </w:r>
      <w:r>
        <w:rPr>
          <w:rFonts w:hint="eastAsia" w:ascii="仿宋" w:hAnsi="仿宋" w:eastAsia="仿宋"/>
          <w:bCs/>
          <w:color w:val="000000" w:themeColor="text1"/>
          <w:sz w:val="28"/>
          <w:szCs w:val="28"/>
          <w14:textFill>
            <w14:solidFill>
              <w14:schemeClr w14:val="tx1"/>
            </w14:solidFill>
          </w14:textFill>
        </w:rPr>
        <w:t>——第</w:t>
      </w:r>
      <w:r>
        <w:rPr>
          <w:rFonts w:ascii="仿宋" w:hAnsi="仿宋" w:eastAsia="仿宋"/>
          <w:bCs/>
          <w:color w:val="000000" w:themeColor="text1"/>
          <w:sz w:val="28"/>
          <w:szCs w:val="28"/>
          <w14:textFill>
            <w14:solidFill>
              <w14:schemeClr w14:val="tx1"/>
            </w14:solidFill>
          </w14:textFill>
        </w:rPr>
        <w:t>t</w:t>
      </w:r>
      <w:r>
        <w:rPr>
          <w:rFonts w:hint="eastAsia" w:ascii="仿宋" w:hAnsi="仿宋" w:eastAsia="仿宋"/>
          <w:bCs/>
          <w:color w:val="000000" w:themeColor="text1"/>
          <w:sz w:val="28"/>
          <w:szCs w:val="28"/>
          <w14:textFill>
            <w14:solidFill>
              <w14:schemeClr w14:val="tx1"/>
            </w14:solidFill>
          </w14:textFill>
        </w:rPr>
        <w:t>笔现金流发生日距离当年年末的自然天数（包括当年年末，但不包括第</w:t>
      </w:r>
      <w:r>
        <w:rPr>
          <w:rFonts w:ascii="仿宋" w:hAnsi="仿宋" w:eastAsia="仿宋"/>
          <w:bCs/>
          <w:color w:val="000000" w:themeColor="text1"/>
          <w:sz w:val="28"/>
          <w:szCs w:val="28"/>
          <w14:textFill>
            <w14:solidFill>
              <w14:schemeClr w14:val="tx1"/>
            </w14:solidFill>
          </w14:textFill>
        </w:rPr>
        <w:t>t</w:t>
      </w:r>
      <w:r>
        <w:rPr>
          <w:rFonts w:hint="eastAsia" w:ascii="仿宋" w:hAnsi="仿宋" w:eastAsia="仿宋"/>
          <w:bCs/>
          <w:color w:val="000000" w:themeColor="text1"/>
          <w:sz w:val="28"/>
          <w:szCs w:val="28"/>
          <w14:textFill>
            <w14:solidFill>
              <w14:schemeClr w14:val="tx1"/>
            </w14:solidFill>
          </w14:textFill>
        </w:rPr>
        <w:t>笔现金流发生当日）；</w:t>
      </w:r>
    </w:p>
    <w:p w14:paraId="41BB1A1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object>
          <v:shape id="_x0000_i1027" o:spt="75" type="#_x0000_t75" style="height:18pt;width:16.8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ascii="仿宋" w:hAnsi="仿宋" w:eastAsia="仿宋"/>
          <w:bCs/>
          <w:color w:val="000000" w:themeColor="text1"/>
          <w:sz w:val="28"/>
          <w:szCs w:val="28"/>
          <w14:textFill>
            <w14:solidFill>
              <w14:schemeClr w14:val="tx1"/>
            </w14:solidFill>
          </w14:textFill>
        </w:rPr>
        <w:t>——第</w:t>
      </w:r>
      <w:r>
        <w:rPr>
          <w:rFonts w:ascii="仿宋" w:hAnsi="仿宋" w:eastAsia="仿宋"/>
          <w:bCs/>
          <w:color w:val="000000" w:themeColor="text1"/>
          <w:sz w:val="28"/>
          <w:szCs w:val="28"/>
          <w14:textFill>
            <w14:solidFill>
              <w14:schemeClr w14:val="tx1"/>
            </w14:solidFill>
          </w14:textFill>
        </w:rPr>
        <w:t>t</w:t>
      </w:r>
      <w:r>
        <w:rPr>
          <w:rFonts w:hint="eastAsia" w:ascii="仿宋" w:hAnsi="仿宋" w:eastAsia="仿宋"/>
          <w:bCs/>
          <w:color w:val="000000" w:themeColor="text1"/>
          <w:sz w:val="28"/>
          <w:szCs w:val="28"/>
          <w14:textFill>
            <w14:solidFill>
              <w14:schemeClr w14:val="tx1"/>
            </w14:solidFill>
          </w14:textFill>
        </w:rPr>
        <w:t>笔现金流发生日后的第</w:t>
      </w:r>
      <w:r>
        <w:rPr>
          <w:rFonts w:ascii="仿宋" w:hAnsi="仿宋" w:eastAsia="仿宋"/>
          <w:bCs/>
          <w:color w:val="000000" w:themeColor="text1"/>
          <w:sz w:val="28"/>
          <w:szCs w:val="28"/>
          <w14:textFill>
            <w14:solidFill>
              <w14:schemeClr w14:val="tx1"/>
            </w14:solidFill>
          </w14:textFill>
        </w:rPr>
        <w:t>d</w:t>
      </w:r>
      <w:r>
        <w:rPr>
          <w:rFonts w:hint="eastAsia" w:ascii="仿宋" w:hAnsi="仿宋" w:eastAsia="仿宋"/>
          <w:bCs/>
          <w:color w:val="000000" w:themeColor="text1"/>
          <w:sz w:val="28"/>
          <w:szCs w:val="28"/>
          <w14:textFill>
            <w14:solidFill>
              <w14:schemeClr w14:val="tx1"/>
            </w14:solidFill>
          </w14:textFill>
        </w:rPr>
        <w:t>日投资基准。</w:t>
      </w:r>
    </w:p>
    <w:p w14:paraId="41E42E6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10.2.5  企业年金基金投资运作的会计季度（成立当季或最后一季）为非完整会计季度，以当季的实际运作天数计提并支付受托管理费、托管费或投资管理费。</w:t>
      </w:r>
    </w:p>
    <w:p w14:paraId="69D52E0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10.2.6  除委托人支付的账户管理费外，第10.1款所列各项企业年金基金费用均在企业年金基金财产中列支。</w:t>
      </w:r>
    </w:p>
    <w:p w14:paraId="325307F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10.2.7  本合同约定的各项管理费用不得超过《企业年金基金管理办法》规定的上限，不得低于《企业年金管理机构行业自律公约》约定的下限。</w:t>
      </w:r>
    </w:p>
    <w:p w14:paraId="3664CD78">
      <w:pPr>
        <w:pStyle w:val="3"/>
        <w:numPr>
          <w:ilvl w:val="0"/>
          <w:numId w:val="5"/>
        </w:numPr>
        <w:ind w:left="0" w:firstLine="560"/>
        <w:jc w:val="center"/>
        <w:rPr>
          <w:rFonts w:ascii="仿宋" w:hAnsi="仿宋" w:cstheme="minorBidi"/>
          <w:b w:val="0"/>
          <w:bCs/>
          <w:szCs w:val="28"/>
        </w:rPr>
      </w:pPr>
      <w:bookmarkStart w:id="165" w:name="_Toc311040996"/>
      <w:bookmarkStart w:id="166" w:name="_Toc204689946"/>
      <w:bookmarkStart w:id="167" w:name="_Toc319932549"/>
      <w:r>
        <w:rPr>
          <w:rFonts w:hint="eastAsia" w:ascii="仿宋" w:hAnsi="仿宋" w:cstheme="minorBidi"/>
          <w:b w:val="0"/>
          <w:bCs/>
          <w:szCs w:val="28"/>
        </w:rPr>
        <w:t>企业年金基金的审计</w:t>
      </w:r>
      <w:bookmarkEnd w:id="165"/>
      <w:r>
        <w:rPr>
          <w:rFonts w:hint="eastAsia" w:ascii="仿宋" w:hAnsi="仿宋" w:cstheme="minorBidi"/>
          <w:b w:val="0"/>
          <w:bCs/>
          <w:szCs w:val="28"/>
        </w:rPr>
        <w:t>与清算</w:t>
      </w:r>
      <w:bookmarkEnd w:id="166"/>
      <w:bookmarkEnd w:id="167"/>
    </w:p>
    <w:p w14:paraId="542B466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11.1  企业年金基金审计。</w:t>
      </w:r>
    </w:p>
    <w:p w14:paraId="1B3937D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11.1.1  发生以下情形之一的，受托人应当聘请会计师事务所对企业年金计划进行审计：</w:t>
      </w:r>
    </w:p>
    <w:p w14:paraId="7D1FD2B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11.1.1.1  企业年金计划连续运作满三个会计年度；</w:t>
      </w:r>
    </w:p>
    <w:p w14:paraId="48E3F61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11.1.1.2  受托人、账户管理人、托管人或投资管理人职责终止；</w:t>
      </w:r>
    </w:p>
    <w:p w14:paraId="6C63FBE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11.1.1.3  法律法规规定的其他情形。</w:t>
      </w:r>
    </w:p>
    <w:p w14:paraId="52C3FEA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11.1.2  受托人聘请与委托人、受托人、账户管理人、托管人或投资管理人非关联方的会计师事务所和注册会计师对企业年金基金进行审计，账户管理人、托管人、投资管理人应当配合会计师事务所对企业年金计划进行审计。</w:t>
      </w:r>
    </w:p>
    <w:p w14:paraId="440CFA7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11.1.3  受托人自第11.1.1款情况发生之日起50日内向委托人以及人力资源社会保障行政部门提交审计报告。</w:t>
      </w:r>
    </w:p>
    <w:p w14:paraId="40F0E6F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11.2  企业年金基金清算。</w:t>
      </w:r>
    </w:p>
    <w:p w14:paraId="74D88B3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11.2.1企业年金计划终止的，受托人应当按照有关规定组织清算组对企业年金基金财产进行清算，自清算工作完成后3个月内，向人力资源社会保障行政部门及委托人提交经会计师事务所审计以及律师事务所出具法律意见书的清算报告，并向受益人公告。</w:t>
      </w:r>
    </w:p>
    <w:p w14:paraId="326254EA">
      <w:pPr>
        <w:pStyle w:val="3"/>
        <w:numPr>
          <w:ilvl w:val="0"/>
          <w:numId w:val="5"/>
        </w:numPr>
        <w:ind w:left="0" w:firstLine="560"/>
        <w:jc w:val="center"/>
        <w:rPr>
          <w:rFonts w:ascii="仿宋" w:hAnsi="仿宋" w:cstheme="minorBidi"/>
          <w:b w:val="0"/>
          <w:bCs/>
          <w:szCs w:val="28"/>
        </w:rPr>
      </w:pPr>
      <w:bookmarkStart w:id="168" w:name="_Toc196484085"/>
      <w:bookmarkStart w:id="169" w:name="_Toc319932550"/>
      <w:bookmarkStart w:id="170" w:name="_Toc204689947"/>
      <w:bookmarkStart w:id="171" w:name="_Toc311040997"/>
      <w:r>
        <w:rPr>
          <w:rFonts w:hint="eastAsia" w:ascii="仿宋" w:hAnsi="仿宋" w:cstheme="minorBidi"/>
          <w:b w:val="0"/>
          <w:bCs/>
          <w:szCs w:val="28"/>
        </w:rPr>
        <w:t>企业年金基金的信息报告与披露</w:t>
      </w:r>
      <w:bookmarkEnd w:id="168"/>
      <w:bookmarkEnd w:id="169"/>
      <w:bookmarkEnd w:id="170"/>
      <w:bookmarkEnd w:id="171"/>
    </w:p>
    <w:p w14:paraId="01605FD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12.1  定期报告。</w:t>
      </w:r>
    </w:p>
    <w:p w14:paraId="694A665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12.1.1  受托管理定期报告：受托人应在每季度结束后30日内向委托人提交企业年金基金管理季度报告；并应当在每年度结束后60日内向委托人提交企业年金基金管理年度报告。报告内容及格式以人力资源社会保障部规定为准。自企业年金计划首笔缴费进入受托财产托管账户之日起不满3个月的，受托人可不提供企业年金基金管理季度报告和企业年金基金管理年度报告。</w:t>
      </w:r>
    </w:p>
    <w:p w14:paraId="6646101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12.1.2  企业年金计划受益人年度权益报告：受托人要求账户管理人在年度结束后60日内向受益人提交企业年金权益年度报告。报告内容及格式以人力资源社会保障部规定为准。</w:t>
      </w:r>
    </w:p>
    <w:p w14:paraId="28E550C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12.2  临时报告。</w:t>
      </w:r>
    </w:p>
    <w:p w14:paraId="0057A74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受托人在履行本合同过程中，如遇法律法规规定的临时报告事项，应当及时向有关监管部门报告，并自知晓或者应当知晓该事件发生之日起5个工作日内向委托人报告。</w:t>
      </w:r>
    </w:p>
    <w:p w14:paraId="3DB8F3E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12.3  职责终止报告。</w:t>
      </w:r>
    </w:p>
    <w:p w14:paraId="7B70FB9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受托人、账户管理人、托管人或投资管理人职责终止的，受托人自管理职责终止后50日内向委托人提交企业年金管理情况报告，报告应当说明职责终止原因、未尽事项及处理建议等。</w:t>
      </w:r>
    </w:p>
    <w:p w14:paraId="386FE96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12.4  信息披露方式。</w:t>
      </w:r>
    </w:p>
    <w:p w14:paraId="385AEF4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12.4.1  信息报告与披露采取纸质文本或电子文本的方式。</w:t>
      </w:r>
    </w:p>
    <w:p w14:paraId="1399B01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12.4.2  受托人或账户管理人应当同时向委托人及受益人提供互联网或电话查询服务。</w:t>
      </w:r>
    </w:p>
    <w:p w14:paraId="0A041DAC">
      <w:pPr>
        <w:pStyle w:val="3"/>
        <w:numPr>
          <w:ilvl w:val="0"/>
          <w:numId w:val="5"/>
        </w:numPr>
        <w:ind w:left="0" w:firstLine="560"/>
        <w:jc w:val="center"/>
        <w:rPr>
          <w:rFonts w:ascii="仿宋" w:hAnsi="仿宋" w:cstheme="minorBidi"/>
          <w:b w:val="0"/>
          <w:bCs/>
          <w:szCs w:val="28"/>
        </w:rPr>
      </w:pPr>
      <w:bookmarkStart w:id="172" w:name="_Toc204689948"/>
      <w:bookmarkStart w:id="173" w:name="_Toc319932551"/>
      <w:bookmarkStart w:id="174" w:name="_Toc311040998"/>
      <w:r>
        <w:rPr>
          <w:rFonts w:hint="eastAsia" w:ascii="仿宋" w:hAnsi="仿宋" w:cstheme="minorBidi"/>
          <w:b w:val="0"/>
          <w:bCs/>
          <w:szCs w:val="28"/>
        </w:rPr>
        <w:t>禁止行为</w:t>
      </w:r>
      <w:bookmarkEnd w:id="172"/>
      <w:bookmarkEnd w:id="173"/>
      <w:bookmarkEnd w:id="174"/>
    </w:p>
    <w:p w14:paraId="5AF30A6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本合同当事人禁止从事的行为，包括但不限于：</w:t>
      </w:r>
    </w:p>
    <w:p w14:paraId="38E1FC3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13.1  甲方违反企业年金方案规定缴费；</w:t>
      </w:r>
    </w:p>
    <w:p w14:paraId="5096713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13.2  甲方或乙方提供虚假信息；</w:t>
      </w:r>
    </w:p>
    <w:p w14:paraId="36817E7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13.3  甲方或乙方侵占、挪用企业年金基金财产；</w:t>
      </w:r>
    </w:p>
    <w:p w14:paraId="20DDFD1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13.4  甲方或乙方利用企业年金基金财产为本公司或他人谋求不正当利益；</w:t>
      </w:r>
    </w:p>
    <w:p w14:paraId="7F423A7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13.5  乙方管理企业年金基金财产产生的债权债务与其固有财产产生的债权债务相抵销；</w:t>
      </w:r>
    </w:p>
    <w:p w14:paraId="2ACA819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13.6  乙方管理不同企业年金计划的企业年金基金财产产生的债权债务相抵销；</w:t>
      </w:r>
    </w:p>
    <w:p w14:paraId="35D934F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13.7  乙方不公平地对待其管理的不同企业年金计划的企业年金基金财产；</w:t>
      </w:r>
    </w:p>
    <w:p w14:paraId="68D20F1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13.8  乙方将其固有财产或他人财产混同于企业年金基金财产进行投资；</w:t>
      </w:r>
    </w:p>
    <w:p w14:paraId="5D9AE9D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13.9  </w:t>
      </w:r>
      <w:bookmarkStart w:id="175" w:name="_Toc196484087"/>
      <w:r>
        <w:rPr>
          <w:rFonts w:hint="eastAsia" w:ascii="仿宋" w:hAnsi="仿宋" w:eastAsia="仿宋"/>
          <w:bCs/>
          <w:color w:val="000000" w:themeColor="text1"/>
          <w:sz w:val="28"/>
          <w:szCs w:val="28"/>
          <w14:textFill>
            <w14:solidFill>
              <w14:schemeClr w14:val="tx1"/>
            </w14:solidFill>
          </w14:textFill>
        </w:rPr>
        <w:t>法律法规规定及本合同约定禁止的其他行为。</w:t>
      </w:r>
    </w:p>
    <w:p w14:paraId="1B0A6F58">
      <w:pPr>
        <w:pStyle w:val="3"/>
        <w:numPr>
          <w:ilvl w:val="0"/>
          <w:numId w:val="5"/>
        </w:numPr>
        <w:ind w:left="0" w:firstLine="560"/>
        <w:jc w:val="center"/>
        <w:rPr>
          <w:rFonts w:ascii="仿宋" w:hAnsi="仿宋" w:cstheme="minorBidi"/>
          <w:b w:val="0"/>
          <w:bCs/>
          <w:szCs w:val="28"/>
        </w:rPr>
      </w:pPr>
      <w:bookmarkStart w:id="176" w:name="_Toc311040999"/>
      <w:bookmarkStart w:id="177" w:name="_Toc319932552"/>
      <w:bookmarkStart w:id="178" w:name="_Toc204689949"/>
      <w:r>
        <w:rPr>
          <w:rFonts w:hint="eastAsia" w:ascii="仿宋" w:hAnsi="仿宋" w:cstheme="minorBidi"/>
          <w:b w:val="0"/>
          <w:bCs/>
          <w:szCs w:val="28"/>
        </w:rPr>
        <w:t>违约责任与免责条款</w:t>
      </w:r>
      <w:bookmarkEnd w:id="175"/>
      <w:bookmarkEnd w:id="176"/>
      <w:bookmarkEnd w:id="177"/>
      <w:bookmarkEnd w:id="178"/>
    </w:p>
    <w:p w14:paraId="7A5E555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14.1  甲方或乙方未履行本合同约定的义务，或一方在本合同中的声明与承诺严重失实或有重大遗漏，视为该方违约。违约方应当承担违约责任并赔偿因其违约而造成的损失。</w:t>
      </w:r>
    </w:p>
    <w:p w14:paraId="0FFBCFC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14.2  如甲方的企业年金基金财产来源不合法致使本合同约定的受托关系无效，以及由此引发的责任、损失、费用和债务，全部由甲方承担。</w:t>
      </w:r>
    </w:p>
    <w:p w14:paraId="4A5FE17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14.3  甲方未及时支付账户管理费，导致账户管理人暂停向甲方提供本合同约定的服务，因此给企业年金基金财产和受益人造成的损失，由甲方承担。</w:t>
      </w:r>
    </w:p>
    <w:p w14:paraId="5B5A2F1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14.4  甲方无正当理由不得干预乙方行使法律法规赋予的受托人职责，如因甲方无故干预，导致企业年金基金财产受到损失的，乙方免除责任。</w:t>
      </w:r>
    </w:p>
    <w:p w14:paraId="2DCE0F9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14.5  甲方办理企业年金基金财产转移、受益人企业年金个人权益转移时，因新受托人未尽责等非乙方原因导致乙方未能及时办理移交手续的，乙方免除责任。</w:t>
      </w:r>
    </w:p>
    <w:p w14:paraId="5538626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14.6  受益人未行使本合同约定的权利所引发的风险或产生的损失，乙方免除责任。</w:t>
      </w:r>
    </w:p>
    <w:p w14:paraId="6F23E7C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14.7  当事人一方因不可抗力不能履行本合同，根据不可抗力的影响，部分或全部免除违约责任。不能履行合同的一方应当及时通知对方，以减轻可能给企业年金基金财产及对方造成的损失，并应当在合理期限内提供不可抗力的证明。</w:t>
      </w:r>
    </w:p>
    <w:p w14:paraId="4F7EA4E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14.8  本合同期间，除本合同约定原因外，甲乙双方不得擅自单方提前终止本合同，否则应当赔偿由此给企业年金基金财产及对方造成的损失。</w:t>
      </w:r>
    </w:p>
    <w:p w14:paraId="48888749">
      <w:pPr>
        <w:pStyle w:val="3"/>
        <w:numPr>
          <w:ilvl w:val="0"/>
          <w:numId w:val="5"/>
        </w:numPr>
        <w:ind w:left="0" w:firstLine="560"/>
        <w:jc w:val="center"/>
        <w:rPr>
          <w:rFonts w:ascii="仿宋" w:hAnsi="仿宋" w:cstheme="minorBidi"/>
          <w:b w:val="0"/>
          <w:bCs/>
          <w:szCs w:val="28"/>
        </w:rPr>
      </w:pPr>
      <w:bookmarkStart w:id="179" w:name="_Toc196484088"/>
      <w:bookmarkStart w:id="180" w:name="_Toc319932553"/>
      <w:bookmarkStart w:id="181" w:name="_Toc204689950"/>
      <w:bookmarkStart w:id="182" w:name="_Toc311041000"/>
      <w:r>
        <w:rPr>
          <w:rFonts w:hint="eastAsia" w:ascii="仿宋" w:hAnsi="仿宋" w:cstheme="minorBidi"/>
          <w:b w:val="0"/>
          <w:bCs/>
          <w:szCs w:val="28"/>
        </w:rPr>
        <w:t>争议的处理</w:t>
      </w:r>
      <w:bookmarkEnd w:id="179"/>
      <w:bookmarkEnd w:id="180"/>
      <w:bookmarkEnd w:id="181"/>
      <w:bookmarkEnd w:id="182"/>
    </w:p>
    <w:p w14:paraId="38BAC7C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15.1  本合同的签订、履行、解除、终止及解释适用中华人民共和国法律，双方当事人因履行本合同而产生争议的，应当协商解决。</w:t>
      </w:r>
    </w:p>
    <w:p w14:paraId="708FB38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15.2  经协商未能解决的，当事人应当选择以下第   方式解决纠纷：</w:t>
      </w:r>
    </w:p>
    <w:p w14:paraId="53E61FE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15.2.1  向有管辖权的人民法院提请诉讼；</w:t>
      </w:r>
    </w:p>
    <w:p w14:paraId="3E6291B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15.2.2  向      （仲裁机构名称）仲裁机构申请仲裁，仲裁地点为      。</w:t>
      </w:r>
    </w:p>
    <w:p w14:paraId="667C3D04">
      <w:pPr>
        <w:pStyle w:val="3"/>
        <w:numPr>
          <w:ilvl w:val="0"/>
          <w:numId w:val="5"/>
        </w:numPr>
        <w:ind w:left="0" w:firstLine="560"/>
        <w:jc w:val="center"/>
        <w:rPr>
          <w:rFonts w:ascii="仿宋" w:hAnsi="仿宋" w:cstheme="minorBidi"/>
          <w:b w:val="0"/>
          <w:bCs/>
          <w:szCs w:val="28"/>
        </w:rPr>
      </w:pPr>
      <w:bookmarkStart w:id="183" w:name="_Toc204689951"/>
      <w:bookmarkStart w:id="184" w:name="_Toc319932554"/>
      <w:bookmarkStart w:id="185" w:name="_Toc311041001"/>
      <w:r>
        <w:rPr>
          <w:rFonts w:hint="eastAsia" w:ascii="仿宋" w:hAnsi="仿宋" w:cstheme="minorBidi"/>
          <w:b w:val="0"/>
          <w:bCs/>
          <w:szCs w:val="28"/>
        </w:rPr>
        <w:t>本合同的生效、期限、变更与终止</w:t>
      </w:r>
      <w:bookmarkEnd w:id="183"/>
      <w:bookmarkEnd w:id="184"/>
      <w:bookmarkEnd w:id="185"/>
    </w:p>
    <w:p w14:paraId="473DBD1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16.1  本合同的生效。</w:t>
      </w:r>
    </w:p>
    <w:p w14:paraId="268CC24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本合同于甲乙双方的法定代表人或授权代表签字（或签章）、加盖双方公章，并经人力资源社会保障行政部门备案后生效。</w:t>
      </w:r>
    </w:p>
    <w:p w14:paraId="0105CEE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16.2  本合同的期限。</w:t>
      </w:r>
    </w:p>
    <w:p w14:paraId="56DE19E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本合同期限为自本合同生效之日起     年,合同届满时如遇公休日或法定节假日，则顺延至下一个工作日。</w:t>
      </w:r>
    </w:p>
    <w:p w14:paraId="2193908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16.3  本合同的变更。</w:t>
      </w:r>
    </w:p>
    <w:p w14:paraId="351D3EE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本合同生效后，如需变更，须经双方协商一致并达成书面协议，出现下列情况之一的，由乙方向人力资源社会保障行政部门备案本合同：</w:t>
      </w:r>
    </w:p>
    <w:p w14:paraId="3E03CB7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16.3.1  企业年金计划名称变更；</w:t>
      </w:r>
    </w:p>
    <w:p w14:paraId="32A04A2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16.3.2  账户管理人、托管人或投资管理人变更；</w:t>
      </w:r>
    </w:p>
    <w:p w14:paraId="4A49721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16.3.3  企业年金计划管理费率变更；</w:t>
      </w:r>
    </w:p>
    <w:p w14:paraId="7EA9BCF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16.3.4  本合同其他主要内容调整；</w:t>
      </w:r>
    </w:p>
    <w:p w14:paraId="50C3DBF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16.3.5  法律法规规定及本合同约定的其他情形。</w:t>
      </w:r>
    </w:p>
    <w:p w14:paraId="04DAC3C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16.4  甲乙双方按照以下第   方式确定本合同是否顺延或续签。</w:t>
      </w:r>
    </w:p>
    <w:p w14:paraId="5795D82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16.4.1  本合同期限截止日一个月前，任何一方未提出异议的，视为双方同意顺延相同合同期限，以后依此类推，顺延次数不受限制；</w:t>
      </w:r>
    </w:p>
    <w:p w14:paraId="2A930E3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16.4.2  本合同期限截止日一个月前，甲乙双方应就是否续签本合同进行协商，甲乙双方同意续签本合同的，甲乙双方履行合同签署手续。</w:t>
      </w:r>
    </w:p>
    <w:p w14:paraId="6696167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16.5  本合同到期顺延或续签，且合同条款无任何变更的，由乙方向人力资源社会保障行政部门报送合同顺延或合同续签情况说明的函，不再报备合同；本合同到期顺延或续签，合同条款有变更的，由乙方向人力资源社会保障行政部门报备相关变更条款。</w:t>
      </w:r>
    </w:p>
    <w:p w14:paraId="26E8F16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bookmarkStart w:id="186" w:name="_Toc196484091"/>
      <w:r>
        <w:rPr>
          <w:rFonts w:hint="eastAsia" w:ascii="仿宋" w:hAnsi="仿宋" w:eastAsia="仿宋"/>
          <w:bCs/>
          <w:color w:val="000000" w:themeColor="text1"/>
          <w:sz w:val="28"/>
          <w:szCs w:val="28"/>
          <w14:textFill>
            <w14:solidFill>
              <w14:schemeClr w14:val="tx1"/>
            </w14:solidFill>
          </w14:textFill>
        </w:rPr>
        <w:t>16.6  本合同的终止。</w:t>
      </w:r>
    </w:p>
    <w:p w14:paraId="5181E74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16.6.1  出现下列情况之一的，本合同终止：</w:t>
      </w:r>
    </w:p>
    <w:p w14:paraId="7F91F64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16.6.1.1  本合同期限届满且未顺延；</w:t>
      </w:r>
    </w:p>
    <w:p w14:paraId="1DA265E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16.6.1.2  本合同经甲方与乙方协商同意终止；</w:t>
      </w:r>
    </w:p>
    <w:p w14:paraId="7A2B18E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16.6.1.3  本合同双方的合同关系被依法撤销；</w:t>
      </w:r>
    </w:p>
    <w:p w14:paraId="6267C15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16.6.1.4  本合同双方的合同关系被依法解除。</w:t>
      </w:r>
    </w:p>
    <w:p w14:paraId="41711C0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16.6.2  在本合同期限内，有下列情形之一，甲方可以单方终止本合同：</w:t>
      </w:r>
    </w:p>
    <w:p w14:paraId="2B4CB77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16.6.2.1  乙方违反本合同约定且致使不能实现合同目的；</w:t>
      </w:r>
    </w:p>
    <w:p w14:paraId="3928482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16.6.2.2  乙方利用企业年金基金财产为其谋取利益，或者为他人谋取不正当利益；</w:t>
      </w:r>
    </w:p>
    <w:p w14:paraId="5964987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16.6.2.3  乙方依法解散、被依法撤销、被依法宣告破产或被依法接管；</w:t>
      </w:r>
    </w:p>
    <w:p w14:paraId="0339219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16.6.2.4  乙方被依法取消企业年金基金受托管理业务资格；</w:t>
      </w:r>
    </w:p>
    <w:p w14:paraId="41C9441D">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16.6.2.5  甲方有充分理由和证据认为更换乙方符合受益人利益；</w:t>
      </w:r>
    </w:p>
    <w:p w14:paraId="6146EC3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16.6.2.6  有关监管部门有充分理由和依据认为更换乙方符合受益人利益；</w:t>
      </w:r>
    </w:p>
    <w:p w14:paraId="78E10F7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16.6.2.7  乙方在企业年金基金运作中有严重违反法律法规规定的行为；</w:t>
      </w:r>
    </w:p>
    <w:p w14:paraId="6D1B0A0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16.6.2.8  法律法规规定及本合同约定的其他情形。</w:t>
      </w:r>
    </w:p>
    <w:p w14:paraId="415C27E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16.6.3  在本合同期限内，有下列情形之一，乙方可以单方终止本合同：</w:t>
      </w:r>
    </w:p>
    <w:p w14:paraId="07728FE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16.6.3.1  甲方因其违约行为致使不能实现合同目的；</w:t>
      </w:r>
    </w:p>
    <w:p w14:paraId="5108188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16.6.3.2  甲方在企业年金基金运作中有严重违反法律法规规定的行为；</w:t>
      </w:r>
    </w:p>
    <w:p w14:paraId="3EA15A3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16.6.3.3  甲方依法解散、被依法撤销、被依法宣告破产或被依法接管；</w:t>
      </w:r>
    </w:p>
    <w:p w14:paraId="4F0FD1A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16.6.3.4  法律法规规定及本合同约定的其他情形。</w:t>
      </w:r>
    </w:p>
    <w:p w14:paraId="2CEA679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16.7  本合同的终止日期：本合同期限正常届满的，以本合同期的最后一日为终止日，若遇公休日或法定节假日，则顺延至下一个工作日；本合同双方协商终止的，以终止协议约定的日期为终止日；如果双方的合同关系被依法撤销或解除的，以撤销或解除通知生效之日为终止日；如甲方或乙方按本合同第16.6.2款与第16.6.3款的约定解除合同关系，以一方解除合同通知送达对方之日为终止日。</w:t>
      </w:r>
    </w:p>
    <w:p w14:paraId="379575C8">
      <w:pPr>
        <w:pStyle w:val="3"/>
        <w:numPr>
          <w:ilvl w:val="0"/>
          <w:numId w:val="5"/>
        </w:numPr>
        <w:ind w:left="0" w:firstLine="560"/>
        <w:jc w:val="center"/>
        <w:rPr>
          <w:rFonts w:ascii="仿宋" w:hAnsi="仿宋" w:cstheme="minorBidi"/>
          <w:b w:val="0"/>
          <w:bCs/>
          <w:szCs w:val="28"/>
        </w:rPr>
      </w:pPr>
      <w:bookmarkStart w:id="187" w:name="_Toc311041002"/>
      <w:bookmarkStart w:id="188" w:name="_Toc319932555"/>
      <w:bookmarkStart w:id="189" w:name="_Toc204689952"/>
      <w:r>
        <w:rPr>
          <w:rFonts w:hint="eastAsia" w:ascii="仿宋" w:hAnsi="仿宋" w:cstheme="minorBidi"/>
          <w:b w:val="0"/>
          <w:bCs/>
          <w:szCs w:val="28"/>
        </w:rPr>
        <w:t>保密条款</w:t>
      </w:r>
      <w:bookmarkEnd w:id="186"/>
      <w:bookmarkEnd w:id="187"/>
      <w:bookmarkEnd w:id="188"/>
      <w:bookmarkEnd w:id="189"/>
    </w:p>
    <w:p w14:paraId="7BD456A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17.1  甲方与乙方于本受托设立和管理中所知悉的对方商业秘密以及其他未公开的信息，未经许可，任何一方当事人不得自己使用或向第三方透露和使用，但根据法律法规规定或监管部门要求应当进行披露的除外。</w:t>
      </w:r>
    </w:p>
    <w:p w14:paraId="1C0CBB6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17.2  任何一方违反保密义务的约定，应当赔偿由此给另一方造成的损失。</w:t>
      </w:r>
    </w:p>
    <w:p w14:paraId="2F7D3DFF">
      <w:pPr>
        <w:pStyle w:val="3"/>
        <w:numPr>
          <w:ilvl w:val="0"/>
          <w:numId w:val="5"/>
        </w:numPr>
        <w:ind w:left="0" w:firstLine="560"/>
        <w:jc w:val="center"/>
        <w:rPr>
          <w:rFonts w:ascii="仿宋" w:hAnsi="仿宋" w:cstheme="minorBidi"/>
          <w:b w:val="0"/>
          <w:bCs/>
          <w:szCs w:val="28"/>
        </w:rPr>
      </w:pPr>
      <w:bookmarkStart w:id="190" w:name="_Toc319932556"/>
      <w:bookmarkStart w:id="191" w:name="_Toc311041003"/>
      <w:bookmarkStart w:id="192" w:name="_Toc196484092"/>
      <w:bookmarkStart w:id="193" w:name="_Toc204689953"/>
      <w:r>
        <w:rPr>
          <w:rFonts w:hint="eastAsia" w:ascii="仿宋" w:hAnsi="仿宋" w:cstheme="minorBidi"/>
          <w:b w:val="0"/>
          <w:bCs/>
          <w:szCs w:val="28"/>
        </w:rPr>
        <w:t>通知及送达</w:t>
      </w:r>
      <w:bookmarkEnd w:id="190"/>
      <w:bookmarkEnd w:id="191"/>
      <w:bookmarkEnd w:id="192"/>
      <w:bookmarkEnd w:id="193"/>
    </w:p>
    <w:p w14:paraId="72C03D98">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18.1  甲方与乙方可采取专人送达、挂号邮递、传真或电子邮件等有效方式就受托管理业务相关事项通知对方。</w:t>
      </w:r>
    </w:p>
    <w:p w14:paraId="5407E7E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18.2  通知在下列日期视为送达被通知方：</w:t>
      </w:r>
    </w:p>
    <w:p w14:paraId="4E577FB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18.2.1  专人送达：被通知方签收单中所显示的日期；</w:t>
      </w:r>
    </w:p>
    <w:p w14:paraId="0DCBC60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18.2.2  挂号信或EMS邮递：被送达方的签收日和发出通知方持有的国内挂号函件或EMS收据所示日后的第7日两者中的较早日期； </w:t>
      </w:r>
    </w:p>
    <w:p w14:paraId="5D78007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18.2.3  传真：对方确认收到后的第1个工作日；</w:t>
      </w:r>
    </w:p>
    <w:p w14:paraId="5FB77301">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18.2.4  电子邮件：数据电文进入对方特定系统的首次时间；</w:t>
      </w:r>
    </w:p>
    <w:p w14:paraId="1BC3E50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18.3  一方通讯地址或联络方式发生变化，应当自发生变化之日起3个工作日内以书面形式通知另一方。</w:t>
      </w:r>
    </w:p>
    <w:p w14:paraId="4535F417">
      <w:pPr>
        <w:pStyle w:val="3"/>
        <w:numPr>
          <w:ilvl w:val="0"/>
          <w:numId w:val="5"/>
        </w:numPr>
        <w:ind w:left="0" w:firstLine="560"/>
        <w:jc w:val="center"/>
        <w:rPr>
          <w:rFonts w:ascii="仿宋" w:hAnsi="仿宋" w:cstheme="minorBidi"/>
          <w:b w:val="0"/>
          <w:bCs/>
          <w:szCs w:val="28"/>
        </w:rPr>
      </w:pPr>
      <w:bookmarkStart w:id="194" w:name="_Toc311041004"/>
      <w:bookmarkStart w:id="195" w:name="_Toc204689954"/>
      <w:bookmarkStart w:id="196" w:name="_Toc319932557"/>
      <w:r>
        <w:rPr>
          <w:rFonts w:hint="eastAsia" w:ascii="仿宋" w:hAnsi="仿宋" w:cstheme="minorBidi"/>
          <w:b w:val="0"/>
          <w:bCs/>
          <w:szCs w:val="28"/>
        </w:rPr>
        <w:t>风险提示</w:t>
      </w:r>
      <w:bookmarkEnd w:id="194"/>
      <w:bookmarkEnd w:id="195"/>
      <w:bookmarkEnd w:id="196"/>
    </w:p>
    <w:p w14:paraId="41E1F93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19.1  本合同经人力资源社会保障行政部门审核备案，并不表明其对企业年金基金的价值和收益做出实质性判断或保证，也不表明企业年金基金投资没有风险。</w:t>
      </w:r>
    </w:p>
    <w:p w14:paraId="1521705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19.2  甲乙双方已共同认识到：乙方按照法律法规规定及本合同约定的投资范围和投资比例管理运用、处分企业年金基金财产，企业年金基金财产仍有可能面临遭受损失的风险，由此产生的收益或受到的损失，归于企业年金基金财产。</w:t>
      </w:r>
    </w:p>
    <w:p w14:paraId="3EDEB103">
      <w:pPr>
        <w:pStyle w:val="3"/>
        <w:numPr>
          <w:ilvl w:val="0"/>
          <w:numId w:val="5"/>
        </w:numPr>
        <w:ind w:left="0" w:firstLine="560"/>
        <w:jc w:val="center"/>
        <w:rPr>
          <w:rFonts w:ascii="仿宋" w:hAnsi="仿宋" w:cstheme="minorBidi"/>
          <w:b w:val="0"/>
          <w:bCs/>
          <w:szCs w:val="28"/>
        </w:rPr>
      </w:pPr>
      <w:bookmarkStart w:id="197" w:name="_Toc196484093"/>
      <w:bookmarkStart w:id="198" w:name="_Toc319932558"/>
      <w:bookmarkStart w:id="199" w:name="_Toc311041005"/>
      <w:bookmarkStart w:id="200" w:name="_Toc204689955"/>
      <w:r>
        <w:rPr>
          <w:rFonts w:hint="eastAsia" w:ascii="仿宋" w:hAnsi="仿宋" w:cstheme="minorBidi"/>
          <w:b w:val="0"/>
          <w:bCs/>
          <w:szCs w:val="28"/>
        </w:rPr>
        <w:t>其他事项</w:t>
      </w:r>
      <w:bookmarkEnd w:id="197"/>
      <w:bookmarkEnd w:id="198"/>
      <w:bookmarkEnd w:id="199"/>
      <w:bookmarkEnd w:id="200"/>
    </w:p>
    <w:p w14:paraId="003994E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20.1  本合同未尽事宜，由双方达成补充协议另行规定；补充协议与本合同具有同等法律效力。</w:t>
      </w:r>
    </w:p>
    <w:p w14:paraId="3C1279CC">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20.2  甲方被兼并或被收购，其在本合同中所承担的权利与义务由兼并方或收购方承担。</w:t>
      </w:r>
    </w:p>
    <w:p w14:paraId="2BD7681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20.3  甲方为非企业法人单位的，由甲方负责人或授权代表签署本合同。</w:t>
      </w:r>
    </w:p>
    <w:p w14:paraId="01C03E0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20.4  本合同有效期内，如法律法规规定发生变化导致本合同条款与其有抵触的，相抵触之处按新的法律法规规定执行。</w:t>
      </w:r>
    </w:p>
    <w:p w14:paraId="4719457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20.5  本合同有效期内，如法律法规规定发生变化导致本合同需要报人力资源社会保障行政部门审核，由乙方负责办理。</w:t>
      </w:r>
    </w:p>
    <w:p w14:paraId="2F8A269F">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20.6  如果本合同任何条款与相关法律法规规定不符而构成无效，并不影响本合同其他条款的效力。</w:t>
      </w:r>
    </w:p>
    <w:p w14:paraId="61F8641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20.7  本合同一式    份，由甲方、乙方各执    份，报人力资源社会保障行政部门备案    份，每份具有同等的法律效力。</w:t>
      </w:r>
    </w:p>
    <w:p w14:paraId="1123FD3B">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（以下是本合同签署页。）</w:t>
      </w:r>
    </w:p>
    <w:p w14:paraId="2CB6691F">
      <w:pPr>
        <w:pStyle w:val="16"/>
        <w:numPr>
          <w:ilvl w:val="0"/>
          <w:numId w:val="5"/>
        </w:numPr>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br w:type="page"/>
      </w:r>
    </w:p>
    <w:p w14:paraId="6CEB95F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（本页是《    企业年金计划受托管理合同》签署页。）</w:t>
      </w:r>
    </w:p>
    <w:p w14:paraId="24E4039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p>
    <w:p w14:paraId="5A696A0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p>
    <w:p w14:paraId="191569A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甲方（公章）： </w:t>
      </w:r>
    </w:p>
    <w:p w14:paraId="6583271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p>
    <w:p w14:paraId="737EE3F5">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法定代表人或负责人签字（或签章）：</w:t>
      </w:r>
    </w:p>
    <w:p w14:paraId="65FC28F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（或授权代表）</w:t>
      </w:r>
    </w:p>
    <w:p w14:paraId="15BC420E">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p>
    <w:p w14:paraId="723EE102">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签署日期：       年    月    日</w:t>
      </w:r>
    </w:p>
    <w:p w14:paraId="714B0654">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p>
    <w:p w14:paraId="663EC76A">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p>
    <w:p w14:paraId="117513F0">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p>
    <w:p w14:paraId="538A9D47">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乙方（公章）：</w:t>
      </w:r>
    </w:p>
    <w:p w14:paraId="07C08463">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p>
    <w:p w14:paraId="7FA38A66">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法定代表人（或授权代表）签字（或签章）：</w:t>
      </w:r>
    </w:p>
    <w:p w14:paraId="40017359">
      <w:pPr>
        <w:pStyle w:val="16"/>
        <w:spacing w:after="0" w:line="560" w:lineRule="exact"/>
        <w:ind w:left="0" w:firstLine="560" w:firstLineChars="200"/>
        <w:rPr>
          <w:rFonts w:ascii="仿宋" w:hAnsi="仿宋" w:eastAsia="仿宋"/>
          <w:bCs/>
          <w:color w:val="000000" w:themeColor="text1"/>
          <w:sz w:val="28"/>
          <w:szCs w:val="28"/>
          <w14:textFill>
            <w14:solidFill>
              <w14:schemeClr w14:val="tx1"/>
            </w14:solidFill>
          </w14:textFill>
        </w:rPr>
      </w:pPr>
    </w:p>
    <w:p w14:paraId="12B306C2">
      <w:pPr>
        <w:pStyle w:val="16"/>
        <w:spacing w:after="0" w:line="560" w:lineRule="exact"/>
        <w:ind w:left="0" w:firstLine="560" w:firstLineChars="200"/>
        <w:rPr>
          <w:rFonts w:ascii="宋体" w:hAnsi="宋体" w:eastAsia="仿宋"/>
          <w:b/>
          <w:bCs/>
          <w:color w:val="000000" w:themeColor="text1"/>
          <w:sz w:val="24"/>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签署日期：        年    月    日</w:t>
      </w:r>
      <w:bookmarkEnd w:id="119"/>
      <w:bookmarkEnd w:id="120"/>
    </w:p>
    <w:p w14:paraId="791709C1">
      <w:pPr>
        <w:pStyle w:val="16"/>
        <w:spacing w:line="360" w:lineRule="auto"/>
        <w:ind w:left="1680"/>
        <w:rPr>
          <w:rFonts w:ascii="宋体" w:hAnsi="宋体" w:eastAsia="仿宋"/>
          <w:b/>
          <w:bCs/>
          <w:color w:val="000000" w:themeColor="text1"/>
          <w:sz w:val="24"/>
          <w14:textFill>
            <w14:solidFill>
              <w14:schemeClr w14:val="tx1"/>
            </w14:solidFill>
          </w14:textFill>
        </w:rPr>
      </w:pPr>
    </w:p>
    <w:p w14:paraId="03DE23AF">
      <w:pPr>
        <w:pStyle w:val="16"/>
        <w:spacing w:line="360" w:lineRule="auto"/>
        <w:ind w:left="1680"/>
        <w:rPr>
          <w:rFonts w:ascii="宋体" w:hAnsi="宋体" w:eastAsia="仿宋"/>
          <w:b/>
          <w:bCs/>
          <w:color w:val="000000" w:themeColor="text1"/>
          <w:sz w:val="24"/>
          <w14:textFill>
            <w14:solidFill>
              <w14:schemeClr w14:val="tx1"/>
            </w14:solidFill>
          </w14:textFill>
        </w:rPr>
      </w:pPr>
    </w:p>
    <w:p w14:paraId="4DE1F559">
      <w:pPr>
        <w:pStyle w:val="16"/>
        <w:ind w:left="1680"/>
        <w:rPr>
          <w:rFonts w:ascii="宋体" w:hAnsi="宋体" w:eastAsia="仿宋"/>
          <w:b/>
          <w:bCs/>
          <w:color w:val="000000" w:themeColor="text1"/>
          <w:sz w:val="24"/>
          <w14:textFill>
            <w14:solidFill>
              <w14:schemeClr w14:val="tx1"/>
            </w14:solidFill>
          </w14:textFill>
        </w:rPr>
      </w:pPr>
    </w:p>
    <w:bookmarkEnd w:id="111"/>
    <w:bookmarkEnd w:id="112"/>
    <w:p w14:paraId="2B2E019F">
      <w:pPr>
        <w:widowControl/>
        <w:rPr>
          <w:rFonts w:ascii="宋体" w:hAnsi="宋体" w:eastAsia="仿宋"/>
          <w:b/>
          <w:bCs/>
          <w:color w:val="000000" w:themeColor="text1"/>
          <w:sz w:val="24"/>
          <w14:textFill>
            <w14:solidFill>
              <w14:schemeClr w14:val="tx1"/>
            </w14:solidFill>
          </w14:textFill>
        </w:rPr>
      </w:pPr>
      <w:bookmarkStart w:id="201" w:name="_Toc204689956"/>
      <w:r>
        <w:rPr>
          <w:rFonts w:hint="eastAsia" w:ascii="宋体" w:hAnsi="宋体" w:eastAsia="仿宋"/>
          <w:b/>
          <w:bCs/>
          <w:color w:val="000000" w:themeColor="text1"/>
          <w:sz w:val="24"/>
          <w14:textFill>
            <w14:solidFill>
              <w14:schemeClr w14:val="tx1"/>
            </w14:solidFill>
          </w14:textFill>
        </w:rPr>
        <w:br w:type="page"/>
      </w:r>
    </w:p>
    <w:p w14:paraId="488FEE19">
      <w:pPr>
        <w:pStyle w:val="2"/>
      </w:pPr>
      <w:r>
        <w:rPr>
          <w:rFonts w:hint="eastAsia"/>
        </w:rPr>
        <w:t>第五章</w:t>
      </w:r>
      <w:r>
        <w:tab/>
      </w:r>
      <w:r>
        <w:rPr>
          <w:rFonts w:hint="eastAsia"/>
        </w:rPr>
        <w:t>投标文件格式</w:t>
      </w:r>
      <w:bookmarkEnd w:id="201"/>
    </w:p>
    <w:p w14:paraId="527116F3">
      <w:pPr>
        <w:tabs>
          <w:tab w:val="left" w:pos="6311"/>
        </w:tabs>
        <w:spacing w:before="1"/>
        <w:rPr>
          <w:rFonts w:ascii="宋体" w:hAnsi="宋体" w:eastAsia="仿宋"/>
          <w:b/>
          <w:bCs/>
          <w:color w:val="000000" w:themeColor="text1"/>
          <w:sz w:val="24"/>
          <w14:textFill>
            <w14:solidFill>
              <w14:schemeClr w14:val="tx1"/>
            </w14:solidFill>
          </w14:textFill>
        </w:rPr>
      </w:pPr>
    </w:p>
    <w:p w14:paraId="578A4D0E">
      <w:pPr>
        <w:tabs>
          <w:tab w:val="left" w:pos="6311"/>
        </w:tabs>
        <w:spacing w:before="1"/>
        <w:ind w:left="3926" w:hanging="3926" w:hangingChars="1222"/>
        <w:jc w:val="center"/>
        <w:rPr>
          <w:rFonts w:ascii="宋体" w:hAnsi="宋体" w:eastAsia="仿宋"/>
          <w:b/>
          <w:bCs/>
          <w:color w:val="000000" w:themeColor="text1"/>
          <w:sz w:val="32"/>
          <w:szCs w:val="32"/>
          <w:u w:val="single"/>
          <w14:textFill>
            <w14:solidFill>
              <w14:schemeClr w14:val="tx1"/>
            </w14:solidFill>
          </w14:textFill>
        </w:rPr>
      </w:pPr>
      <w:r>
        <w:rPr>
          <w:rFonts w:hint="eastAsia" w:ascii="宋体" w:hAnsi="宋体" w:eastAsia="仿宋"/>
          <w:b/>
          <w:bCs/>
          <w:color w:val="000000" w:themeColor="text1"/>
          <w:sz w:val="32"/>
          <w:szCs w:val="32"/>
          <w:u w:val="single"/>
          <w14:textFill>
            <w14:solidFill>
              <w14:schemeClr w14:val="tx1"/>
            </w14:solidFill>
          </w14:textFill>
        </w:rPr>
        <w:tab/>
      </w:r>
      <w:r>
        <w:rPr>
          <w:rFonts w:hint="eastAsia" w:ascii="宋体" w:hAnsi="宋体" w:eastAsia="仿宋"/>
          <w:b/>
          <w:bCs/>
          <w:color w:val="000000" w:themeColor="text1"/>
          <w:sz w:val="32"/>
          <w:szCs w:val="32"/>
          <w:u w:val="single"/>
          <w14:textFill>
            <w14:solidFill>
              <w14:schemeClr w14:val="tx1"/>
            </w14:solidFill>
          </w14:textFill>
        </w:rPr>
        <w:t>（项目名称）</w:t>
      </w:r>
    </w:p>
    <w:p w14:paraId="6FBAF7B0">
      <w:pPr>
        <w:jc w:val="center"/>
        <w:rPr>
          <w:rFonts w:ascii="宋体" w:hAnsi="宋体" w:eastAsia="仿宋"/>
          <w:b/>
          <w:bCs/>
          <w:color w:val="000000" w:themeColor="text1"/>
          <w:sz w:val="32"/>
          <w:szCs w:val="32"/>
          <w14:textFill>
            <w14:solidFill>
              <w14:schemeClr w14:val="tx1"/>
            </w14:solidFill>
          </w14:textFill>
        </w:rPr>
      </w:pPr>
      <w:r>
        <w:rPr>
          <w:rFonts w:hint="eastAsia" w:ascii="宋体" w:hAnsi="宋体" w:eastAsia="仿宋"/>
          <w:b/>
          <w:bCs/>
          <w:color w:val="000000" w:themeColor="text1"/>
          <w:sz w:val="32"/>
          <w:szCs w:val="32"/>
          <w14:textFill>
            <w14:solidFill>
              <w14:schemeClr w14:val="tx1"/>
            </w14:solidFill>
          </w14:textFill>
        </w:rPr>
        <w:t>（项目编号：</w:t>
      </w:r>
      <w:r>
        <w:rPr>
          <w:rFonts w:hint="eastAsia" w:ascii="宋体" w:hAnsi="宋体" w:eastAsia="仿宋"/>
          <w:b/>
          <w:bCs/>
          <w:color w:val="000000" w:themeColor="text1"/>
          <w:sz w:val="32"/>
          <w:szCs w:val="32"/>
          <w:u w:val="single"/>
          <w14:textFill>
            <w14:solidFill>
              <w14:schemeClr w14:val="tx1"/>
            </w14:solidFill>
          </w14:textFill>
        </w:rPr>
        <w:t xml:space="preserve"> </w:t>
      </w:r>
      <w:r>
        <w:rPr>
          <w:rFonts w:ascii="宋体" w:hAnsi="宋体" w:eastAsia="仿宋"/>
          <w:b/>
          <w:bCs/>
          <w:color w:val="000000" w:themeColor="text1"/>
          <w:sz w:val="32"/>
          <w:szCs w:val="32"/>
          <w:u w:val="single"/>
          <w14:textFill>
            <w14:solidFill>
              <w14:schemeClr w14:val="tx1"/>
            </w14:solidFill>
          </w14:textFill>
        </w:rPr>
        <w:t xml:space="preserve">            </w:t>
      </w:r>
      <w:r>
        <w:rPr>
          <w:rFonts w:hint="eastAsia" w:ascii="宋体" w:hAnsi="宋体" w:eastAsia="仿宋"/>
          <w:b/>
          <w:bCs/>
          <w:color w:val="000000" w:themeColor="text1"/>
          <w:sz w:val="32"/>
          <w:szCs w:val="32"/>
          <w14:textFill>
            <w14:solidFill>
              <w14:schemeClr w14:val="tx1"/>
            </w14:solidFill>
          </w14:textFill>
        </w:rPr>
        <w:t>）</w:t>
      </w:r>
    </w:p>
    <w:p w14:paraId="72BD0076">
      <w:pPr>
        <w:jc w:val="center"/>
        <w:rPr>
          <w:rFonts w:ascii="宋体" w:hAnsi="宋体" w:eastAsia="仿宋"/>
          <w:b/>
          <w:bCs/>
          <w:color w:val="000000" w:themeColor="text1"/>
          <w:sz w:val="24"/>
          <w14:textFill>
            <w14:solidFill>
              <w14:schemeClr w14:val="tx1"/>
            </w14:solidFill>
          </w14:textFill>
        </w:rPr>
      </w:pPr>
    </w:p>
    <w:p w14:paraId="57C7B3DD">
      <w:pPr>
        <w:jc w:val="center"/>
        <w:rPr>
          <w:rFonts w:ascii="宋体" w:hAnsi="宋体" w:eastAsia="仿宋"/>
          <w:b/>
          <w:bCs/>
          <w:color w:val="000000" w:themeColor="text1"/>
          <w:sz w:val="24"/>
          <w14:textFill>
            <w14:solidFill>
              <w14:schemeClr w14:val="tx1"/>
            </w14:solidFill>
          </w14:textFill>
        </w:rPr>
      </w:pPr>
    </w:p>
    <w:p w14:paraId="234C0F03">
      <w:pPr>
        <w:jc w:val="center"/>
        <w:rPr>
          <w:rFonts w:ascii="宋体" w:hAnsi="宋体" w:eastAsia="仿宋"/>
          <w:b/>
          <w:bCs/>
          <w:color w:val="000000" w:themeColor="text1"/>
          <w:sz w:val="24"/>
          <w14:textFill>
            <w14:solidFill>
              <w14:schemeClr w14:val="tx1"/>
            </w14:solidFill>
          </w14:textFill>
        </w:rPr>
      </w:pPr>
    </w:p>
    <w:p w14:paraId="37E8A4E1">
      <w:pPr>
        <w:jc w:val="center"/>
        <w:rPr>
          <w:rFonts w:ascii="宋体" w:hAnsi="宋体" w:eastAsia="仿宋"/>
          <w:b/>
          <w:bCs/>
          <w:color w:val="000000" w:themeColor="text1"/>
          <w:sz w:val="44"/>
          <w:szCs w:val="44"/>
          <w14:textFill>
            <w14:solidFill>
              <w14:schemeClr w14:val="tx1"/>
            </w14:solidFill>
          </w14:textFill>
        </w:rPr>
      </w:pPr>
      <w:r>
        <w:rPr>
          <w:rFonts w:hint="eastAsia" w:ascii="宋体" w:hAnsi="宋体" w:eastAsia="仿宋"/>
          <w:b/>
          <w:bCs/>
          <w:color w:val="000000" w:themeColor="text1"/>
          <w:sz w:val="44"/>
          <w:szCs w:val="44"/>
          <w14:textFill>
            <w14:solidFill>
              <w14:schemeClr w14:val="tx1"/>
            </w14:solidFill>
          </w14:textFill>
        </w:rPr>
        <w:t>投 标 文 件</w:t>
      </w:r>
    </w:p>
    <w:p w14:paraId="730A2DD1">
      <w:pPr>
        <w:pStyle w:val="9"/>
        <w:rPr>
          <w:rFonts w:eastAsia="仿宋" w:cstheme="minorBidi"/>
          <w:b/>
          <w:bCs/>
          <w:color w:val="000000" w:themeColor="text1"/>
          <w14:textFill>
            <w14:solidFill>
              <w14:schemeClr w14:val="tx1"/>
            </w14:solidFill>
          </w14:textFill>
          <w14:ligatures w14:val="standardContextual"/>
        </w:rPr>
      </w:pPr>
    </w:p>
    <w:p w14:paraId="688CA236">
      <w:pPr>
        <w:pStyle w:val="9"/>
        <w:spacing w:before="10"/>
        <w:rPr>
          <w:rFonts w:eastAsia="仿宋" w:cstheme="minorBidi"/>
          <w:b/>
          <w:bCs/>
          <w:color w:val="000000" w:themeColor="text1"/>
          <w14:textFill>
            <w14:solidFill>
              <w14:schemeClr w14:val="tx1"/>
            </w14:solidFill>
          </w14:textFill>
          <w14:ligatures w14:val="standardContextual"/>
        </w:rPr>
      </w:pPr>
    </w:p>
    <w:p w14:paraId="7637D20C">
      <w:pPr>
        <w:pStyle w:val="9"/>
        <w:spacing w:before="10"/>
        <w:rPr>
          <w:rFonts w:eastAsia="仿宋" w:cstheme="minorBidi"/>
          <w:b/>
          <w:bCs/>
          <w:color w:val="000000" w:themeColor="text1"/>
          <w14:textFill>
            <w14:solidFill>
              <w14:schemeClr w14:val="tx1"/>
            </w14:solidFill>
          </w14:textFill>
          <w14:ligatures w14:val="standardContextual"/>
        </w:rPr>
      </w:pPr>
    </w:p>
    <w:p w14:paraId="56820DCB">
      <w:pPr>
        <w:pStyle w:val="9"/>
        <w:spacing w:before="10"/>
        <w:rPr>
          <w:rFonts w:eastAsia="仿宋" w:cstheme="minorBidi"/>
          <w:b/>
          <w:bCs/>
          <w:color w:val="000000" w:themeColor="text1"/>
          <w14:textFill>
            <w14:solidFill>
              <w14:schemeClr w14:val="tx1"/>
            </w14:solidFill>
          </w14:textFill>
          <w14:ligatures w14:val="standardContextual"/>
        </w:rPr>
      </w:pPr>
    </w:p>
    <w:p w14:paraId="56581344">
      <w:pPr>
        <w:pStyle w:val="9"/>
        <w:spacing w:before="10"/>
        <w:rPr>
          <w:rFonts w:eastAsia="仿宋" w:cstheme="minorBidi"/>
          <w:b/>
          <w:bCs/>
          <w:color w:val="000000" w:themeColor="text1"/>
          <w14:textFill>
            <w14:solidFill>
              <w14:schemeClr w14:val="tx1"/>
            </w14:solidFill>
          </w14:textFill>
          <w14:ligatures w14:val="standardContextual"/>
        </w:rPr>
      </w:pPr>
    </w:p>
    <w:p w14:paraId="0BE7EE79">
      <w:pPr>
        <w:ind w:firstLine="978" w:firstLineChars="348"/>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投 标 人：</w:t>
      </w:r>
      <w:r>
        <w:rPr>
          <w:rFonts w:hint="eastAsia" w:ascii="宋体" w:hAnsi="宋体" w:eastAsia="仿宋"/>
          <w:b/>
          <w:bCs/>
          <w:color w:val="000000" w:themeColor="text1"/>
          <w:sz w:val="28"/>
          <w:szCs w:val="28"/>
          <w:u w:val="single"/>
          <w14:textFill>
            <w14:solidFill>
              <w14:schemeClr w14:val="tx1"/>
            </w14:solidFill>
          </w14:textFill>
        </w:rPr>
        <w:t xml:space="preserve">                   </w:t>
      </w:r>
      <w:r>
        <w:rPr>
          <w:rFonts w:hint="eastAsia" w:ascii="宋体" w:hAnsi="宋体" w:eastAsia="仿宋"/>
          <w:b/>
          <w:bCs/>
          <w:color w:val="000000" w:themeColor="text1"/>
          <w:sz w:val="28"/>
          <w:szCs w:val="28"/>
          <w:u w:val="single"/>
          <w14:textFill>
            <w14:solidFill>
              <w14:schemeClr w14:val="tx1"/>
            </w14:solidFill>
          </w14:textFill>
        </w:rPr>
        <w:tab/>
      </w:r>
      <w:r>
        <w:rPr>
          <w:rFonts w:hint="eastAsia" w:ascii="宋体" w:hAnsi="宋体" w:eastAsia="仿宋"/>
          <w:b/>
          <w:bCs/>
          <w:color w:val="000000" w:themeColor="text1"/>
          <w:sz w:val="28"/>
          <w:szCs w:val="28"/>
          <w:u w:val="single"/>
          <w14:textFill>
            <w14:solidFill>
              <w14:schemeClr w14:val="tx1"/>
            </w14:solidFill>
          </w14:textFill>
        </w:rPr>
        <w:t>（盖单位公章）</w:t>
      </w:r>
    </w:p>
    <w:p w14:paraId="5BB45878">
      <w:pPr>
        <w:jc w:val="center"/>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法定代表人或委托代理人：</w:t>
      </w:r>
      <w:r>
        <w:rPr>
          <w:rFonts w:hint="eastAsia" w:ascii="宋体" w:hAnsi="宋体" w:eastAsia="仿宋"/>
          <w:b/>
          <w:bCs/>
          <w:color w:val="000000" w:themeColor="text1"/>
          <w:sz w:val="28"/>
          <w:szCs w:val="28"/>
          <w:u w:val="single"/>
          <w14:textFill>
            <w14:solidFill>
              <w14:schemeClr w14:val="tx1"/>
            </w14:solidFill>
          </w14:textFill>
        </w:rPr>
        <w:t xml:space="preserve">        （签字或盖章）</w:t>
      </w:r>
    </w:p>
    <w:p w14:paraId="30B2DC7F">
      <w:pPr>
        <w:pStyle w:val="9"/>
        <w:rPr>
          <w:rFonts w:eastAsia="仿宋" w:cstheme="minorBidi"/>
          <w:b/>
          <w:bCs/>
          <w:color w:val="000000" w:themeColor="text1"/>
          <w:sz w:val="28"/>
          <w:szCs w:val="28"/>
          <w14:textFill>
            <w14:solidFill>
              <w14:schemeClr w14:val="tx1"/>
            </w14:solidFill>
          </w14:textFill>
          <w14:ligatures w14:val="standardContextual"/>
        </w:rPr>
      </w:pPr>
    </w:p>
    <w:p w14:paraId="58C1B300">
      <w:pPr>
        <w:pStyle w:val="9"/>
        <w:spacing w:before="251"/>
        <w:jc w:val="left"/>
        <w:rPr>
          <w:rFonts w:eastAsia="仿宋" w:cstheme="minorBidi"/>
          <w:b/>
          <w:bCs/>
          <w:color w:val="000000" w:themeColor="text1"/>
          <w:sz w:val="28"/>
          <w:szCs w:val="28"/>
          <w14:textFill>
            <w14:solidFill>
              <w14:schemeClr w14:val="tx1"/>
            </w14:solidFill>
          </w14:textFill>
          <w14:ligatures w14:val="standardContextual"/>
        </w:rPr>
      </w:pPr>
    </w:p>
    <w:p w14:paraId="19FCF00D">
      <w:pPr>
        <w:tabs>
          <w:tab w:val="left" w:pos="5157"/>
          <w:tab w:val="left" w:pos="6597"/>
          <w:tab w:val="left" w:pos="8037"/>
        </w:tabs>
        <w:jc w:val="center"/>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w:t>编制日期：    年   月  日</w:t>
      </w:r>
    </w:p>
    <w:p w14:paraId="6D6437D5">
      <w:pPr>
        <w:rPr>
          <w:rFonts w:ascii="宋体" w:hAnsi="宋体" w:eastAsia="仿宋"/>
          <w:b/>
          <w:bCs/>
          <w:color w:val="000000" w:themeColor="text1"/>
          <w:sz w:val="24"/>
          <w14:textFill>
            <w14:solidFill>
              <w14:schemeClr w14:val="tx1"/>
            </w14:solidFill>
          </w14:textFill>
        </w:rPr>
      </w:pPr>
    </w:p>
    <w:p w14:paraId="010A00C9">
      <w:pPr>
        <w:widowControl/>
        <w:rPr>
          <w:rFonts w:ascii="宋体" w:hAnsi="宋体" w:eastAsia="仿宋"/>
          <w:b/>
          <w:bCs/>
          <w:color w:val="000000" w:themeColor="text1"/>
          <w:sz w:val="24"/>
          <w14:textFill>
            <w14:solidFill>
              <w14:schemeClr w14:val="tx1"/>
            </w14:solidFill>
          </w14:textFill>
        </w:rPr>
      </w:pPr>
      <w:r>
        <w:rPr>
          <w:rFonts w:hint="eastAsia" w:eastAsia="仿宋"/>
          <w:b/>
          <w:bCs/>
          <w:color w:val="000000" w:themeColor="text1"/>
          <w14:textFill>
            <w14:solidFill>
              <w14:schemeClr w14:val="tx1"/>
            </w14:solidFill>
          </w14:textFill>
        </w:rPr>
        <w:br w:type="page"/>
      </w:r>
    </w:p>
    <w:p w14:paraId="75EFE580">
      <w:pPr>
        <w:pStyle w:val="9"/>
        <w:spacing w:before="39"/>
        <w:jc w:val="center"/>
        <w:rPr>
          <w:rFonts w:eastAsia="仿宋" w:cstheme="minorBidi"/>
          <w:b/>
          <w:bCs/>
          <w:color w:val="000000" w:themeColor="text1"/>
          <w:sz w:val="28"/>
          <w14:textFill>
            <w14:solidFill>
              <w14:schemeClr w14:val="tx1"/>
            </w14:solidFill>
          </w14:textFill>
          <w14:ligatures w14:val="standardContextual"/>
        </w:rPr>
      </w:pPr>
      <w:r>
        <w:rPr>
          <w:rFonts w:hint="eastAsia" w:eastAsia="仿宋" w:cstheme="minorBidi"/>
          <w:b/>
          <w:bCs/>
          <w:color w:val="000000" w:themeColor="text1"/>
          <w:sz w:val="28"/>
          <w14:textFill>
            <w14:solidFill>
              <w14:schemeClr w14:val="tx1"/>
            </w14:solidFill>
          </w14:textFill>
          <w14:ligatures w14:val="standardContextual"/>
        </w:rPr>
        <w:t xml:space="preserve">目 </w:t>
      </w:r>
      <w:r>
        <w:rPr>
          <w:rFonts w:eastAsia="仿宋" w:cstheme="minorBidi"/>
          <w:b/>
          <w:bCs/>
          <w:color w:val="000000" w:themeColor="text1"/>
          <w:sz w:val="28"/>
          <w14:textFill>
            <w14:solidFill>
              <w14:schemeClr w14:val="tx1"/>
            </w14:solidFill>
          </w14:textFill>
          <w14:ligatures w14:val="standardContextual"/>
        </w:rPr>
        <w:t xml:space="preserve"> </w:t>
      </w:r>
      <w:r>
        <w:rPr>
          <w:rFonts w:hint="eastAsia" w:eastAsia="仿宋" w:cstheme="minorBidi"/>
          <w:b/>
          <w:bCs/>
          <w:color w:val="000000" w:themeColor="text1"/>
          <w:sz w:val="28"/>
          <w14:textFill>
            <w14:solidFill>
              <w14:schemeClr w14:val="tx1"/>
            </w14:solidFill>
          </w14:textFill>
          <w14:ligatures w14:val="standardContextual"/>
        </w:rPr>
        <w:t>录</w:t>
      </w:r>
    </w:p>
    <w:p w14:paraId="0F445D28">
      <w:pPr>
        <w:pStyle w:val="16"/>
        <w:numPr>
          <w:ilvl w:val="1"/>
          <w:numId w:val="6"/>
        </w:numPr>
        <w:tabs>
          <w:tab w:val="left" w:pos="640"/>
        </w:tabs>
        <w:spacing w:after="0" w:line="360" w:lineRule="auto"/>
        <w:contextualSpacing w:val="0"/>
        <w:rPr>
          <w:rFonts w:ascii="宋体" w:hAnsi="宋体" w:eastAsia="仿宋"/>
          <w:b/>
          <w:bCs/>
          <w:color w:val="000000" w:themeColor="text1"/>
          <w:sz w:val="28"/>
          <w14:textFill>
            <w14:solidFill>
              <w14:schemeClr w14:val="tx1"/>
            </w14:solidFill>
          </w14:textFill>
        </w:rPr>
      </w:pPr>
      <w:bookmarkStart w:id="202" w:name="OLE_LINK25"/>
      <w:bookmarkStart w:id="203" w:name="OLE_LINK26"/>
      <w:r>
        <w:rPr>
          <w:rFonts w:hint="eastAsia" w:ascii="宋体" w:hAnsi="宋体" w:eastAsia="仿宋"/>
          <w:b/>
          <w:bCs/>
          <w:color w:val="000000" w:themeColor="text1"/>
          <w:sz w:val="28"/>
          <w14:textFill>
            <w14:solidFill>
              <w14:schemeClr w14:val="tx1"/>
            </w14:solidFill>
          </w14:textFill>
        </w:rPr>
        <w:t>投标函</w:t>
      </w:r>
    </w:p>
    <w:p w14:paraId="4CB69289">
      <w:pPr>
        <w:pStyle w:val="16"/>
        <w:tabs>
          <w:tab w:val="left" w:pos="640"/>
          <w:tab w:val="left" w:pos="2460"/>
        </w:tabs>
        <w:spacing w:after="0" w:line="360" w:lineRule="auto"/>
        <w:ind w:left="0"/>
        <w:contextualSpacing w:val="0"/>
        <w:rPr>
          <w:rFonts w:ascii="宋体" w:hAnsi="宋体" w:eastAsia="仿宋"/>
          <w:b/>
          <w:bCs/>
          <w:color w:val="000000" w:themeColor="text1"/>
          <w:sz w:val="28"/>
          <w14:textFill>
            <w14:solidFill>
              <w14:schemeClr w14:val="tx1"/>
            </w14:solidFill>
          </w14:textFill>
        </w:rPr>
      </w:pPr>
      <w:r>
        <w:rPr>
          <w:rFonts w:hint="eastAsia" w:ascii="宋体" w:hAnsi="宋体" w:eastAsia="仿宋"/>
          <w:b/>
          <w:bCs/>
          <w:color w:val="000000" w:themeColor="text1"/>
          <w:sz w:val="28"/>
          <w14:textFill>
            <w14:solidFill>
              <w14:schemeClr w14:val="tx1"/>
            </w14:solidFill>
          </w14:textFill>
        </w:rPr>
        <w:t>1</w:t>
      </w:r>
      <w:r>
        <w:rPr>
          <w:rFonts w:ascii="宋体" w:hAnsi="宋体" w:eastAsia="仿宋"/>
          <w:b/>
          <w:bCs/>
          <w:color w:val="000000" w:themeColor="text1"/>
          <w:sz w:val="28"/>
          <w14:textFill>
            <w14:solidFill>
              <w14:schemeClr w14:val="tx1"/>
            </w14:solidFill>
          </w14:textFill>
        </w:rPr>
        <w:t xml:space="preserve">.2  </w:t>
      </w:r>
      <w:r>
        <w:rPr>
          <w:rFonts w:hint="eastAsia" w:ascii="宋体" w:hAnsi="宋体" w:eastAsia="仿宋"/>
          <w:b/>
          <w:bCs/>
          <w:color w:val="000000" w:themeColor="text1"/>
          <w:sz w:val="28"/>
          <w14:textFill>
            <w14:solidFill>
              <w14:schemeClr w14:val="tx1"/>
            </w14:solidFill>
          </w14:textFill>
        </w:rPr>
        <w:t>报价表</w:t>
      </w:r>
    </w:p>
    <w:p w14:paraId="132064CB">
      <w:pPr>
        <w:pStyle w:val="16"/>
        <w:numPr>
          <w:ilvl w:val="1"/>
          <w:numId w:val="7"/>
        </w:numPr>
        <w:tabs>
          <w:tab w:val="left" w:pos="640"/>
          <w:tab w:val="left" w:pos="2460"/>
        </w:tabs>
        <w:spacing w:after="0" w:line="360" w:lineRule="auto"/>
        <w:rPr>
          <w:rFonts w:ascii="宋体" w:hAnsi="宋体" w:eastAsia="仿宋"/>
          <w:b/>
          <w:bCs/>
          <w:color w:val="000000" w:themeColor="text1"/>
          <w:sz w:val="28"/>
          <w14:textFill>
            <w14:solidFill>
              <w14:schemeClr w14:val="tx1"/>
            </w14:solidFill>
          </w14:textFill>
        </w:rPr>
      </w:pPr>
      <w:r>
        <w:rPr>
          <w:rFonts w:hint="eastAsia" w:ascii="宋体" w:hAnsi="宋体" w:eastAsia="仿宋"/>
          <w:b/>
          <w:bCs/>
          <w:color w:val="000000" w:themeColor="text1"/>
          <w:sz w:val="28"/>
          <w14:textFill>
            <w14:solidFill>
              <w14:schemeClr w14:val="tx1"/>
            </w14:solidFill>
          </w14:textFill>
        </w:rPr>
        <w:t>投标人基本情况表</w:t>
      </w:r>
    </w:p>
    <w:p w14:paraId="5CC77D1C">
      <w:pPr>
        <w:pStyle w:val="16"/>
        <w:numPr>
          <w:ilvl w:val="1"/>
          <w:numId w:val="7"/>
        </w:numPr>
        <w:tabs>
          <w:tab w:val="left" w:pos="640"/>
          <w:tab w:val="left" w:pos="2460"/>
        </w:tabs>
        <w:spacing w:after="0" w:line="360" w:lineRule="auto"/>
        <w:ind w:left="0" w:firstLine="0"/>
        <w:contextualSpacing w:val="0"/>
        <w:rPr>
          <w:rFonts w:ascii="宋体" w:hAnsi="宋体" w:eastAsia="仿宋"/>
          <w:b/>
          <w:bCs/>
          <w:color w:val="000000" w:themeColor="text1"/>
          <w:sz w:val="28"/>
          <w14:textFill>
            <w14:solidFill>
              <w14:schemeClr w14:val="tx1"/>
            </w14:solidFill>
          </w14:textFill>
        </w:rPr>
      </w:pPr>
      <w:r>
        <w:rPr>
          <w:rFonts w:hint="eastAsia" w:ascii="宋体" w:hAnsi="宋体" w:eastAsia="仿宋"/>
          <w:b/>
          <w:bCs/>
          <w:color w:val="000000" w:themeColor="text1"/>
          <w:sz w:val="28"/>
          <w14:textFill>
            <w14:solidFill>
              <w14:schemeClr w14:val="tx1"/>
            </w14:solidFill>
          </w14:textFill>
        </w:rPr>
        <w:t>拟投入本项目的招标代理团队及人员简介及情况介绍</w:t>
      </w:r>
    </w:p>
    <w:p w14:paraId="5F54B332">
      <w:pPr>
        <w:pStyle w:val="16"/>
        <w:numPr>
          <w:ilvl w:val="1"/>
          <w:numId w:val="7"/>
        </w:numPr>
        <w:tabs>
          <w:tab w:val="left" w:pos="640"/>
          <w:tab w:val="left" w:pos="2639"/>
        </w:tabs>
        <w:spacing w:after="0" w:line="360" w:lineRule="auto"/>
        <w:rPr>
          <w:rFonts w:ascii="宋体" w:hAnsi="宋体" w:eastAsia="仿宋"/>
          <w:b/>
          <w:bCs/>
          <w:color w:val="000000" w:themeColor="text1"/>
          <w:sz w:val="28"/>
          <w14:textFill>
            <w14:solidFill>
              <w14:schemeClr w14:val="tx1"/>
            </w14:solidFill>
          </w14:textFill>
        </w:rPr>
      </w:pPr>
      <w:r>
        <w:rPr>
          <w:rFonts w:hint="eastAsia" w:ascii="宋体" w:hAnsi="宋体" w:eastAsia="仿宋"/>
          <w:b/>
          <w:bCs/>
          <w:color w:val="000000" w:themeColor="text1"/>
          <w:sz w:val="28"/>
          <w14:textFill>
            <w14:solidFill>
              <w14:schemeClr w14:val="tx1"/>
            </w14:solidFill>
          </w14:textFill>
        </w:rPr>
        <w:t>服务方案、服务措施</w:t>
      </w:r>
    </w:p>
    <w:p w14:paraId="2C83EE74">
      <w:pPr>
        <w:pStyle w:val="16"/>
        <w:numPr>
          <w:ilvl w:val="1"/>
          <w:numId w:val="7"/>
        </w:numPr>
        <w:tabs>
          <w:tab w:val="left" w:pos="640"/>
          <w:tab w:val="left" w:pos="2639"/>
        </w:tabs>
        <w:spacing w:after="0" w:line="360" w:lineRule="auto"/>
        <w:rPr>
          <w:rFonts w:ascii="宋体" w:hAnsi="宋体" w:eastAsia="仿宋"/>
          <w:b/>
          <w:bCs/>
          <w:color w:val="000000" w:themeColor="text1"/>
          <w:sz w:val="28"/>
          <w14:textFill>
            <w14:solidFill>
              <w14:schemeClr w14:val="tx1"/>
            </w14:solidFill>
          </w14:textFill>
        </w:rPr>
      </w:pPr>
      <w:r>
        <w:rPr>
          <w:rFonts w:hint="eastAsia" w:ascii="宋体" w:hAnsi="宋体" w:eastAsia="仿宋"/>
          <w:b/>
          <w:bCs/>
          <w:color w:val="000000" w:themeColor="text1"/>
          <w:sz w:val="28"/>
          <w14:textFill>
            <w14:solidFill>
              <w14:schemeClr w14:val="tx1"/>
            </w14:solidFill>
          </w14:textFill>
        </w:rPr>
        <w:t>投标人人为有必要的其他声明及文件</w:t>
      </w:r>
    </w:p>
    <w:p w14:paraId="56352D1B">
      <w:pPr>
        <w:tabs>
          <w:tab w:val="left" w:pos="640"/>
          <w:tab w:val="left" w:pos="2460"/>
        </w:tabs>
        <w:spacing w:after="0" w:line="360" w:lineRule="auto"/>
        <w:rPr>
          <w:rFonts w:ascii="宋体" w:hAnsi="宋体" w:eastAsia="仿宋"/>
          <w:b/>
          <w:bCs/>
          <w:color w:val="000000" w:themeColor="text1"/>
          <w:sz w:val="28"/>
          <w14:textFill>
            <w14:solidFill>
              <w14:schemeClr w14:val="tx1"/>
            </w14:solidFill>
          </w14:textFill>
        </w:rPr>
      </w:pPr>
      <w:r>
        <w:rPr>
          <w:rFonts w:hint="eastAsia" w:ascii="宋体" w:hAnsi="宋体" w:eastAsia="仿宋"/>
          <w:b/>
          <w:bCs/>
          <w:color w:val="000000" w:themeColor="text1"/>
          <w:sz w:val="28"/>
          <w14:textFill>
            <w14:solidFill>
              <w14:schemeClr w14:val="tx1"/>
            </w14:solidFill>
          </w14:textFill>
        </w:rPr>
        <w:t>3</w:t>
      </w:r>
      <w:r>
        <w:rPr>
          <w:rFonts w:ascii="宋体" w:hAnsi="宋体" w:eastAsia="仿宋"/>
          <w:b/>
          <w:bCs/>
          <w:color w:val="000000" w:themeColor="text1"/>
          <w:sz w:val="28"/>
          <w14:textFill>
            <w14:solidFill>
              <w14:schemeClr w14:val="tx1"/>
            </w14:solidFill>
          </w14:textFill>
        </w:rPr>
        <w:t xml:space="preserve">.1 </w:t>
      </w:r>
      <w:r>
        <w:rPr>
          <w:rFonts w:hint="eastAsia" w:ascii="宋体" w:hAnsi="宋体" w:eastAsia="仿宋"/>
          <w:b/>
          <w:bCs/>
          <w:color w:val="000000" w:themeColor="text1"/>
          <w:sz w:val="28"/>
          <w14:textFill>
            <w14:solidFill>
              <w14:schemeClr w14:val="tx1"/>
            </w14:solidFill>
          </w14:textFill>
        </w:rPr>
        <w:t>资格证明文件</w:t>
      </w:r>
    </w:p>
    <w:p w14:paraId="5ED0137D">
      <w:pPr>
        <w:pStyle w:val="16"/>
        <w:tabs>
          <w:tab w:val="left" w:pos="640"/>
          <w:tab w:val="left" w:pos="2460"/>
        </w:tabs>
        <w:spacing w:after="0" w:line="360" w:lineRule="auto"/>
        <w:ind w:left="0"/>
        <w:contextualSpacing w:val="0"/>
        <w:rPr>
          <w:rFonts w:ascii="宋体" w:hAnsi="宋体" w:eastAsia="仿宋"/>
          <w:b/>
          <w:bCs/>
          <w:color w:val="000000" w:themeColor="text1"/>
          <w:sz w:val="28"/>
          <w14:textFill>
            <w14:solidFill>
              <w14:schemeClr w14:val="tx1"/>
            </w14:solidFill>
          </w14:textFill>
        </w:rPr>
      </w:pPr>
      <w:r>
        <w:rPr>
          <w:rFonts w:hint="eastAsia" w:ascii="宋体" w:hAnsi="宋体" w:eastAsia="仿宋"/>
          <w:b/>
          <w:bCs/>
          <w:color w:val="000000" w:themeColor="text1"/>
          <w:sz w:val="28"/>
          <w14:textFill>
            <w14:solidFill>
              <w14:schemeClr w14:val="tx1"/>
            </w14:solidFill>
          </w14:textFill>
        </w:rPr>
        <w:t>3</w:t>
      </w:r>
      <w:r>
        <w:rPr>
          <w:rFonts w:ascii="宋体" w:hAnsi="宋体" w:eastAsia="仿宋"/>
          <w:b/>
          <w:bCs/>
          <w:color w:val="000000" w:themeColor="text1"/>
          <w:sz w:val="28"/>
          <w14:textFill>
            <w14:solidFill>
              <w14:schemeClr w14:val="tx1"/>
            </w14:solidFill>
          </w14:textFill>
        </w:rPr>
        <w:t xml:space="preserve">.2 </w:t>
      </w:r>
      <w:r>
        <w:rPr>
          <w:rFonts w:hint="eastAsia" w:ascii="宋体" w:hAnsi="宋体" w:eastAsia="仿宋"/>
          <w:b/>
          <w:bCs/>
          <w:color w:val="000000" w:themeColor="text1"/>
          <w:sz w:val="28"/>
          <w14:textFill>
            <w14:solidFill>
              <w14:schemeClr w14:val="tx1"/>
            </w14:solidFill>
          </w14:textFill>
        </w:rPr>
        <w:t>投标人业绩</w:t>
      </w:r>
    </w:p>
    <w:p w14:paraId="7A831EC0">
      <w:pPr>
        <w:pStyle w:val="16"/>
        <w:tabs>
          <w:tab w:val="left" w:pos="640"/>
          <w:tab w:val="left" w:pos="2460"/>
        </w:tabs>
        <w:spacing w:after="0" w:line="360" w:lineRule="auto"/>
        <w:ind w:left="0"/>
        <w:contextualSpacing w:val="0"/>
        <w:rPr>
          <w:rFonts w:ascii="宋体" w:hAnsi="宋体" w:eastAsia="仿宋"/>
          <w:b/>
          <w:bCs/>
          <w:color w:val="000000" w:themeColor="text1"/>
          <w:sz w:val="28"/>
          <w14:textFill>
            <w14:solidFill>
              <w14:schemeClr w14:val="tx1"/>
            </w14:solidFill>
          </w14:textFill>
        </w:rPr>
      </w:pPr>
      <w:r>
        <w:rPr>
          <w:rFonts w:hint="eastAsia" w:ascii="宋体" w:hAnsi="宋体" w:eastAsia="仿宋"/>
          <w:b/>
          <w:bCs/>
          <w:color w:val="000000" w:themeColor="text1"/>
          <w:sz w:val="28"/>
          <w14:textFill>
            <w14:solidFill>
              <w14:schemeClr w14:val="tx1"/>
            </w14:solidFill>
          </w14:textFill>
        </w:rPr>
        <w:t>3</w:t>
      </w:r>
      <w:r>
        <w:rPr>
          <w:rFonts w:ascii="宋体" w:hAnsi="宋体" w:eastAsia="仿宋"/>
          <w:b/>
          <w:bCs/>
          <w:color w:val="000000" w:themeColor="text1"/>
          <w:sz w:val="28"/>
          <w14:textFill>
            <w14:solidFill>
              <w14:schemeClr w14:val="tx1"/>
            </w14:solidFill>
          </w14:textFill>
        </w:rPr>
        <w:t xml:space="preserve">.3 </w:t>
      </w:r>
      <w:r>
        <w:rPr>
          <w:rFonts w:hint="eastAsia" w:ascii="宋体" w:hAnsi="宋体" w:eastAsia="仿宋"/>
          <w:b/>
          <w:bCs/>
          <w:color w:val="000000" w:themeColor="text1"/>
          <w:sz w:val="28"/>
          <w14:textFill>
            <w14:solidFill>
              <w14:schemeClr w14:val="tx1"/>
            </w14:solidFill>
          </w14:textFill>
        </w:rPr>
        <w:t>其他材料</w:t>
      </w:r>
    </w:p>
    <w:bookmarkEnd w:id="202"/>
    <w:bookmarkEnd w:id="203"/>
    <w:p w14:paraId="0C9B4B28">
      <w:pPr>
        <w:rPr>
          <w:rFonts w:ascii="宋体" w:hAnsi="宋体" w:eastAsia="仿宋"/>
          <w:b/>
          <w:bCs/>
          <w:color w:val="000000" w:themeColor="text1"/>
          <w:sz w:val="24"/>
          <w14:textFill>
            <w14:solidFill>
              <w14:schemeClr w14:val="tx1"/>
            </w14:solidFill>
          </w14:textFill>
        </w:rPr>
      </w:pPr>
    </w:p>
    <w:p w14:paraId="313C2DA6">
      <w:pPr>
        <w:rPr>
          <w:rFonts w:ascii="宋体" w:hAnsi="宋体" w:eastAsia="仿宋"/>
          <w:b/>
          <w:bCs/>
          <w:color w:val="000000" w:themeColor="text1"/>
          <w:sz w:val="24"/>
          <w14:textFill>
            <w14:solidFill>
              <w14:schemeClr w14:val="tx1"/>
            </w14:solidFill>
          </w14:textFill>
        </w:rPr>
      </w:pPr>
    </w:p>
    <w:p w14:paraId="54AE18E3">
      <w:pPr>
        <w:rPr>
          <w:rFonts w:ascii="宋体" w:hAnsi="宋体" w:eastAsia="仿宋"/>
          <w:b/>
          <w:bCs/>
          <w:color w:val="000000" w:themeColor="text1"/>
          <w:sz w:val="24"/>
          <w14:textFill>
            <w14:solidFill>
              <w14:schemeClr w14:val="tx1"/>
            </w14:solidFill>
          </w14:textFill>
        </w:rPr>
      </w:pPr>
    </w:p>
    <w:p w14:paraId="35FD9435">
      <w:pPr>
        <w:rPr>
          <w:rFonts w:ascii="宋体" w:hAnsi="宋体" w:eastAsia="仿宋"/>
          <w:b/>
          <w:bCs/>
          <w:color w:val="000000" w:themeColor="text1"/>
          <w:sz w:val="24"/>
          <w14:textFill>
            <w14:solidFill>
              <w14:schemeClr w14:val="tx1"/>
            </w14:solidFill>
          </w14:textFill>
        </w:rPr>
      </w:pPr>
    </w:p>
    <w:p w14:paraId="42EE94B6">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5D485E7F">
      <w:pPr>
        <w:pStyle w:val="3"/>
        <w:ind w:firstLine="562"/>
      </w:pPr>
      <w:r>
        <w:rPr>
          <w:rFonts w:hint="eastAsia"/>
        </w:rPr>
        <w:t>1</w:t>
      </w:r>
      <w:r>
        <w:t>.1</w:t>
      </w:r>
      <w:r>
        <w:rPr>
          <w:rFonts w:hint="eastAsia"/>
        </w:rPr>
        <w:t>投标函</w:t>
      </w:r>
    </w:p>
    <w:p w14:paraId="69DCAB0E">
      <w:pPr>
        <w:widowControl/>
        <w:spacing w:after="0" w:line="560" w:lineRule="exact"/>
        <w:rPr>
          <w:rFonts w:ascii="仿宋" w:hAnsi="仿宋" w:eastAsia="仿宋"/>
          <w:bCs/>
          <w:color w:val="000000" w:themeColor="text1"/>
          <w:sz w:val="28"/>
          <w:szCs w:val="28"/>
          <w:u w:val="single"/>
          <w14:textFill>
            <w14:solidFill>
              <w14:schemeClr w14:val="tx1"/>
            </w14:solidFill>
          </w14:textFill>
        </w:rPr>
      </w:pPr>
      <w:r>
        <w:rPr>
          <w:rFonts w:hint="eastAsia" w:ascii="仿宋" w:hAnsi="仿宋" w:eastAsia="仿宋"/>
          <w:bCs/>
          <w:color w:val="000000" w:themeColor="text1"/>
          <w:sz w:val="28"/>
          <w:szCs w:val="28"/>
          <w:u w:val="single"/>
          <w14:textFill>
            <w14:solidFill>
              <w14:schemeClr w14:val="tx1"/>
            </w14:solidFill>
          </w14:textFill>
        </w:rPr>
        <w:t>（采购代理机构）：</w:t>
      </w:r>
    </w:p>
    <w:p w14:paraId="519B3A3C">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根据贵方为</w:t>
      </w:r>
      <w:r>
        <w:rPr>
          <w:rFonts w:hint="eastAsia" w:ascii="仿宋" w:hAnsi="仿宋" w:eastAsia="仿宋"/>
          <w:bCs/>
          <w:color w:val="000000" w:themeColor="text1"/>
          <w:sz w:val="28"/>
          <w:szCs w:val="28"/>
          <w:u w:val="single"/>
          <w14:textFill>
            <w14:solidFill>
              <w14:schemeClr w14:val="tx1"/>
            </w14:solidFill>
          </w14:textFill>
        </w:rPr>
        <w:t xml:space="preserve">               （项目名称）</w:t>
      </w:r>
      <w:r>
        <w:rPr>
          <w:rFonts w:hint="eastAsia" w:ascii="仿宋" w:hAnsi="仿宋" w:eastAsia="仿宋"/>
          <w:bCs/>
          <w:color w:val="000000" w:themeColor="text1"/>
          <w:sz w:val="28"/>
          <w:szCs w:val="28"/>
          <w14:textFill>
            <w14:solidFill>
              <w14:schemeClr w14:val="tx1"/>
            </w14:solidFill>
          </w14:textFill>
        </w:rPr>
        <w:t>项目招标采购服务的投标邀请</w:t>
      </w:r>
      <w:r>
        <w:rPr>
          <w:rFonts w:hint="eastAsia" w:ascii="仿宋" w:hAnsi="仿宋" w:eastAsia="仿宋"/>
          <w:bCs/>
          <w:color w:val="000000" w:themeColor="text1"/>
          <w:sz w:val="28"/>
          <w:szCs w:val="28"/>
          <w:u w:val="single"/>
          <w14:textFill>
            <w14:solidFill>
              <w14:schemeClr w14:val="tx1"/>
            </w14:solidFill>
          </w14:textFill>
        </w:rPr>
        <w:t xml:space="preserve">     （项目编号）    </w:t>
      </w:r>
      <w:r>
        <w:rPr>
          <w:rFonts w:hint="eastAsia" w:ascii="仿宋" w:hAnsi="仿宋" w:eastAsia="仿宋"/>
          <w:bCs/>
          <w:color w:val="000000" w:themeColor="text1"/>
          <w:sz w:val="28"/>
          <w:szCs w:val="28"/>
          <w14:textFill>
            <w14:solidFill>
              <w14:schemeClr w14:val="tx1"/>
            </w14:solidFill>
          </w14:textFill>
        </w:rPr>
        <w:t>,签字代表</w:t>
      </w:r>
      <w:r>
        <w:rPr>
          <w:rFonts w:hint="eastAsia" w:ascii="仿宋" w:hAnsi="仿宋" w:eastAsia="仿宋"/>
          <w:bCs/>
          <w:color w:val="000000" w:themeColor="text1"/>
          <w:sz w:val="28"/>
          <w:szCs w:val="28"/>
          <w:u w:val="single"/>
          <w14:textFill>
            <w14:solidFill>
              <w14:schemeClr w14:val="tx1"/>
            </w14:solidFill>
          </w14:textFill>
        </w:rPr>
        <w:t xml:space="preserve">     （姓名、职务） </w:t>
      </w:r>
      <w:r>
        <w:rPr>
          <w:rFonts w:hint="eastAsia" w:ascii="仿宋" w:hAnsi="仿宋" w:eastAsia="仿宋"/>
          <w:bCs/>
          <w:color w:val="000000" w:themeColor="text1"/>
          <w:sz w:val="28"/>
          <w:szCs w:val="28"/>
          <w14:textFill>
            <w14:solidFill>
              <w14:schemeClr w14:val="tx1"/>
            </w14:solidFill>
          </w14:textFill>
        </w:rPr>
        <w:t>经正式授权并代表投标人</w:t>
      </w:r>
      <w:r>
        <w:rPr>
          <w:rFonts w:hint="eastAsia" w:ascii="仿宋" w:hAnsi="仿宋" w:eastAsia="仿宋"/>
          <w:bCs/>
          <w:color w:val="000000" w:themeColor="text1"/>
          <w:sz w:val="28"/>
          <w:szCs w:val="28"/>
          <w:u w:val="single"/>
          <w14:textFill>
            <w14:solidFill>
              <w14:schemeClr w14:val="tx1"/>
            </w14:solidFill>
          </w14:textFill>
        </w:rPr>
        <w:t xml:space="preserve">     （投标人名称、地址）</w:t>
      </w:r>
      <w:r>
        <w:rPr>
          <w:rFonts w:hint="eastAsia" w:ascii="仿宋" w:hAnsi="仿宋" w:eastAsia="仿宋"/>
          <w:bCs/>
          <w:color w:val="000000" w:themeColor="text1"/>
          <w:sz w:val="28"/>
          <w:szCs w:val="28"/>
          <w14:textFill>
            <w14:solidFill>
              <w14:schemeClr w14:val="tx1"/>
            </w14:solidFill>
          </w14:textFill>
        </w:rPr>
        <w:t>， 遵守国家有关法律、法规和规章，按招标文件中投标人须知和技术规格要求提供的有关文件。</w:t>
      </w:r>
    </w:p>
    <w:p w14:paraId="4B15FD31">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1.正本</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份；</w:t>
      </w:r>
    </w:p>
    <w:p w14:paraId="259F2222">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2.副本</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份；</w:t>
      </w:r>
    </w:p>
    <w:p w14:paraId="64ED4A51">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3.电子版</w:t>
      </w:r>
      <w:r>
        <w:rPr>
          <w:rFonts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份；</w:t>
      </w:r>
    </w:p>
    <w:p w14:paraId="7E48E8B4">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4.报价表</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份；</w:t>
      </w:r>
    </w:p>
    <w:p w14:paraId="4E143514">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5.《投标保证金退款信息函》</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份；</w:t>
      </w:r>
    </w:p>
    <w:p w14:paraId="78452B7C">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6.以</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形式交纳的投标保证金，人民币</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元整。</w:t>
      </w:r>
    </w:p>
    <w:p w14:paraId="10A2317B">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据此，我方在此郑重承诺：</w:t>
      </w:r>
    </w:p>
    <w:p w14:paraId="3950F1DC">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我方提交的投标文件资料是完整的、真实的和准确的。我方同意按照贵方的要求，提供有关的数据和资料。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由此造成的任何损失均由我方自行承担；本承诺是我方真实意思的表示且具有相对独立性，不管是否有其他相反的说明，本承诺均为我方投标文件的有效组成内容，对我方在与该项目有关的任何行为中始终具有优先的法律约束力。</w:t>
      </w:r>
    </w:p>
    <w:p w14:paraId="715B44E8">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我方已详细审查全部招标文件，及有关附件中所有的须知、事项、格式、条款和规范要求等，我们完全理解并同意放弃对这方面有不明及误解的权力。若我方的投标文件没有按招标文件的要求提交全部资料，或投标文件没有对招标文件做出实质性响应，其风险由我方自行承担。</w:t>
      </w:r>
    </w:p>
    <w:p w14:paraId="556F7D21">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3.我方具备《招标文件》规定的所有条件。我方与招标采购单位聘请的为此项目提供咨询服务的公司及任何附属机构均无关联。</w:t>
      </w:r>
    </w:p>
    <w:p w14:paraId="312036C7">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4.如果我方获得中标，将会按照招标文件和投标文件履行所有合同责任和义务。</w:t>
      </w:r>
    </w:p>
    <w:p w14:paraId="3BE23753">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5.针对招标文件中规定的所有服务，我方的投标报价为：受托管理费（%）</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ab/>
      </w:r>
      <w:r>
        <w:rPr>
          <w:rFonts w:hint="eastAsia" w:ascii="仿宋" w:hAnsi="仿宋" w:eastAsia="仿宋"/>
          <w:bCs/>
          <w:color w:val="000000" w:themeColor="text1"/>
          <w:sz w:val="28"/>
          <w:szCs w:val="28"/>
          <w14:textFill>
            <w14:solidFill>
              <w14:schemeClr w14:val="tx1"/>
            </w14:solidFill>
          </w14:textFill>
        </w:rPr>
        <w:t>账户管理费（元）</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ab/>
      </w:r>
      <w:r>
        <w:rPr>
          <w:rFonts w:hint="eastAsia" w:ascii="仿宋" w:hAnsi="仿宋" w:eastAsia="仿宋"/>
          <w:bCs/>
          <w:color w:val="000000" w:themeColor="text1"/>
          <w:sz w:val="28"/>
          <w:szCs w:val="28"/>
          <w14:textFill>
            <w14:solidFill>
              <w14:schemeClr w14:val="tx1"/>
            </w14:solidFill>
          </w14:textFill>
        </w:rPr>
        <w:t>托管管理费（%）</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ab/>
      </w:r>
      <w:r>
        <w:rPr>
          <w:rFonts w:hint="eastAsia" w:ascii="仿宋" w:hAnsi="仿宋" w:eastAsia="仿宋"/>
          <w:bCs/>
          <w:color w:val="000000" w:themeColor="text1"/>
          <w:sz w:val="28"/>
          <w:szCs w:val="28"/>
          <w14:textFill>
            <w14:solidFill>
              <w14:schemeClr w14:val="tx1"/>
            </w14:solidFill>
          </w14:textFill>
        </w:rPr>
        <w:t>投资管理费（%）</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w:t>
      </w:r>
    </w:p>
    <w:p w14:paraId="70714C7B">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6.投标有效期为自递交投标文件的截止之日起</w:t>
      </w:r>
      <w:r>
        <w:rPr>
          <w:rFonts w:hint="eastAsia" w:ascii="仿宋" w:hAnsi="仿宋" w:eastAsia="仿宋"/>
          <w:bCs/>
          <w:color w:val="000000" w:themeColor="text1"/>
          <w:sz w:val="28"/>
          <w:szCs w:val="28"/>
          <w:u w:val="single"/>
          <w14:textFill>
            <w14:solidFill>
              <w14:schemeClr w14:val="tx1"/>
            </w14:solidFill>
          </w14:textFill>
        </w:rPr>
        <w:t>90</w:t>
      </w:r>
      <w:r>
        <w:rPr>
          <w:rFonts w:hint="eastAsia" w:ascii="仿宋" w:hAnsi="仿宋" w:eastAsia="仿宋"/>
          <w:bCs/>
          <w:color w:val="000000" w:themeColor="text1"/>
          <w:sz w:val="28"/>
          <w:szCs w:val="28"/>
          <w14:textFill>
            <w14:solidFill>
              <w14:schemeClr w14:val="tx1"/>
            </w14:solidFill>
          </w14:textFill>
        </w:rPr>
        <w:t>个日历日。</w:t>
      </w:r>
    </w:p>
    <w:p w14:paraId="45900903">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7.我方完全理解贵方不一定接受最低价及选择性报价的投标。</w:t>
      </w:r>
    </w:p>
    <w:p w14:paraId="41B69B85">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与本投标有关的一切正式往来信函请寄：</w:t>
      </w:r>
    </w:p>
    <w:p w14:paraId="15791895">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投标人名称（加盖公章）：</w:t>
      </w:r>
      <w:r>
        <w:rPr>
          <w:rFonts w:hint="eastAsia" w:ascii="仿宋" w:hAnsi="仿宋" w:eastAsia="仿宋"/>
          <w:bCs/>
          <w:color w:val="000000" w:themeColor="text1"/>
          <w:sz w:val="28"/>
          <w:szCs w:val="28"/>
          <w:u w:val="single"/>
          <w14:textFill>
            <w14:solidFill>
              <w14:schemeClr w14:val="tx1"/>
            </w14:solidFill>
          </w14:textFill>
        </w:rPr>
        <w:t xml:space="preserve"> ______________ _____</w:t>
      </w:r>
    </w:p>
    <w:p w14:paraId="61B0C8BF">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投标人地址：</w:t>
      </w:r>
      <w:r>
        <w:rPr>
          <w:rFonts w:hint="eastAsia" w:ascii="仿宋" w:hAnsi="仿宋" w:eastAsia="仿宋"/>
          <w:bCs/>
          <w:color w:val="000000" w:themeColor="text1"/>
          <w:sz w:val="28"/>
          <w:szCs w:val="28"/>
          <w:u w:val="single"/>
          <w14:textFill>
            <w14:solidFill>
              <w14:schemeClr w14:val="tx1"/>
            </w14:solidFill>
          </w14:textFill>
        </w:rPr>
        <w:t>________________________________</w:t>
      </w:r>
    </w:p>
    <w:p w14:paraId="56121F34">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投标人邮箱：</w:t>
      </w:r>
      <w:r>
        <w:rPr>
          <w:rFonts w:hint="eastAsia" w:ascii="仿宋" w:hAnsi="仿宋" w:eastAsia="仿宋"/>
          <w:bCs/>
          <w:color w:val="000000" w:themeColor="text1"/>
          <w:sz w:val="28"/>
          <w:szCs w:val="28"/>
          <w:u w:val="single"/>
          <w14:textFill>
            <w14:solidFill>
              <w14:schemeClr w14:val="tx1"/>
            </w14:solidFill>
          </w14:textFill>
        </w:rPr>
        <w:t>________________________________</w:t>
      </w:r>
    </w:p>
    <w:p w14:paraId="1043E33D">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投标人电话：</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 xml:space="preserve">           </w:t>
      </w:r>
    </w:p>
    <w:p w14:paraId="17714A5E">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投标人授权代表联系电话：</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 xml:space="preserve">       </w:t>
      </w:r>
    </w:p>
    <w:p w14:paraId="703EBC41">
      <w:pPr>
        <w:widowControl/>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投标人授权代表签字：</w:t>
      </w:r>
      <w:r>
        <w:rPr>
          <w:rFonts w:hint="eastAsia" w:ascii="仿宋" w:hAnsi="仿宋" w:eastAsia="仿宋"/>
          <w:bCs/>
          <w:color w:val="000000" w:themeColor="text1"/>
          <w:sz w:val="28"/>
          <w:szCs w:val="28"/>
          <w:u w:val="single"/>
          <w14:textFill>
            <w14:solidFill>
              <w14:schemeClr w14:val="tx1"/>
            </w14:solidFill>
          </w14:textFill>
        </w:rPr>
        <w:t>________________________</w:t>
      </w:r>
    </w:p>
    <w:p w14:paraId="1065306B">
      <w:pPr>
        <w:widowControl/>
        <w:spacing w:after="0" w:line="560" w:lineRule="exact"/>
        <w:ind w:firstLine="560" w:firstLineChars="200"/>
        <w:rPr>
          <w:rFonts w:ascii="宋体" w:hAnsi="宋体" w:eastAsia="仿宋"/>
          <w:b/>
          <w:bCs/>
          <w:color w:val="000000" w:themeColor="text1"/>
          <w:sz w:val="24"/>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日期：     年    月    日</w:t>
      </w:r>
      <w:r>
        <w:rPr>
          <w:rFonts w:ascii="宋体" w:hAnsi="宋体" w:eastAsia="仿宋"/>
          <w:b/>
          <w:bCs/>
          <w:color w:val="000000" w:themeColor="text1"/>
          <w:sz w:val="24"/>
          <w14:textFill>
            <w14:solidFill>
              <w14:schemeClr w14:val="tx1"/>
            </w14:solidFill>
          </w14:textFill>
        </w:rPr>
        <w:br w:type="page"/>
      </w:r>
    </w:p>
    <w:p w14:paraId="735AB51A">
      <w:pPr>
        <w:pStyle w:val="3"/>
        <w:ind w:firstLine="562"/>
      </w:pPr>
      <w:r>
        <w:rPr>
          <w:rFonts w:hint="eastAsia"/>
        </w:rPr>
        <w:t>1</w:t>
      </w:r>
      <w:r>
        <w:t>.2</w:t>
      </w:r>
      <w:r>
        <w:rPr>
          <w:rFonts w:hint="eastAsia"/>
        </w:rPr>
        <w:t>报价表</w:t>
      </w:r>
    </w:p>
    <w:p w14:paraId="6978BBA1">
      <w:pPr>
        <w:spacing w:after="0" w:line="560" w:lineRule="exac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投标人名称：</w:t>
      </w:r>
    </w:p>
    <w:p w14:paraId="57C3104A">
      <w:pPr>
        <w:spacing w:after="0" w:line="560" w:lineRule="exac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项目编号：</w:t>
      </w:r>
    </w:p>
    <w:tbl>
      <w:tblPr>
        <w:tblStyle w:val="12"/>
        <w:tblW w:w="9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1"/>
        <w:gridCol w:w="3823"/>
        <w:gridCol w:w="1275"/>
        <w:gridCol w:w="1380"/>
        <w:gridCol w:w="974"/>
      </w:tblGrid>
      <w:tr w14:paraId="5D8DF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701" w:type="dxa"/>
          </w:tcPr>
          <w:p w14:paraId="7154C9EF">
            <w:pPr>
              <w:spacing w:after="0" w:line="560" w:lineRule="exact"/>
              <w:ind w:firstLine="84" w:firstLineChars="35"/>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项目名称</w:t>
            </w:r>
          </w:p>
        </w:tc>
        <w:tc>
          <w:tcPr>
            <w:tcW w:w="3823" w:type="dxa"/>
          </w:tcPr>
          <w:p w14:paraId="5CD3DAF8">
            <w:pPr>
              <w:spacing w:after="0" w:line="560" w:lineRule="exact"/>
              <w:ind w:firstLine="84" w:firstLineChars="35"/>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受托管理费报价（费率/年）</w:t>
            </w:r>
          </w:p>
        </w:tc>
        <w:tc>
          <w:tcPr>
            <w:tcW w:w="1275" w:type="dxa"/>
          </w:tcPr>
          <w:p w14:paraId="19D47DC1">
            <w:pPr>
              <w:spacing w:after="0" w:line="560" w:lineRule="exact"/>
              <w:ind w:firstLine="84" w:firstLineChars="35"/>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服务期</w:t>
            </w:r>
          </w:p>
        </w:tc>
        <w:tc>
          <w:tcPr>
            <w:tcW w:w="1380" w:type="dxa"/>
          </w:tcPr>
          <w:p w14:paraId="3249F057">
            <w:pPr>
              <w:spacing w:after="0" w:line="560" w:lineRule="exact"/>
              <w:ind w:firstLine="84" w:firstLineChars="35"/>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服务地点</w:t>
            </w:r>
          </w:p>
        </w:tc>
        <w:tc>
          <w:tcPr>
            <w:tcW w:w="974" w:type="dxa"/>
          </w:tcPr>
          <w:p w14:paraId="468453C1">
            <w:pPr>
              <w:spacing w:after="0" w:line="560" w:lineRule="exact"/>
              <w:ind w:firstLine="84" w:firstLineChars="35"/>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备注</w:t>
            </w:r>
          </w:p>
        </w:tc>
      </w:tr>
      <w:tr w14:paraId="23CB6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1701" w:type="dxa"/>
          </w:tcPr>
          <w:p w14:paraId="293DF903">
            <w:pPr>
              <w:spacing w:after="0" w:line="560" w:lineRule="exact"/>
              <w:ind w:firstLine="480" w:firstLineChars="200"/>
              <w:rPr>
                <w:rFonts w:ascii="仿宋" w:hAnsi="仿宋" w:eastAsia="仿宋"/>
                <w:bCs/>
                <w:color w:val="000000" w:themeColor="text1"/>
                <w:sz w:val="24"/>
                <w14:textFill>
                  <w14:solidFill>
                    <w14:schemeClr w14:val="tx1"/>
                  </w14:solidFill>
                </w14:textFill>
              </w:rPr>
            </w:pPr>
          </w:p>
        </w:tc>
        <w:tc>
          <w:tcPr>
            <w:tcW w:w="3823" w:type="dxa"/>
          </w:tcPr>
          <w:p w14:paraId="4986B1F8">
            <w:pPr>
              <w:spacing w:after="0" w:line="560" w:lineRule="exact"/>
              <w:ind w:firstLine="480" w:firstLineChars="200"/>
              <w:rPr>
                <w:rFonts w:ascii="仿宋" w:hAnsi="仿宋" w:eastAsia="仿宋"/>
                <w:bCs/>
                <w:color w:val="000000" w:themeColor="text1"/>
                <w:sz w:val="24"/>
                <w14:textFill>
                  <w14:solidFill>
                    <w14:schemeClr w14:val="tx1"/>
                  </w14:solidFill>
                </w14:textFill>
              </w:rPr>
            </w:pPr>
          </w:p>
        </w:tc>
        <w:tc>
          <w:tcPr>
            <w:tcW w:w="1275" w:type="dxa"/>
          </w:tcPr>
          <w:p w14:paraId="151D5673">
            <w:pPr>
              <w:spacing w:after="0" w:line="560" w:lineRule="exact"/>
              <w:ind w:firstLine="480" w:firstLineChars="200"/>
              <w:rPr>
                <w:rFonts w:ascii="仿宋" w:hAnsi="仿宋" w:eastAsia="仿宋"/>
                <w:bCs/>
                <w:color w:val="000000" w:themeColor="text1"/>
                <w:sz w:val="24"/>
                <w14:textFill>
                  <w14:solidFill>
                    <w14:schemeClr w14:val="tx1"/>
                  </w14:solidFill>
                </w14:textFill>
              </w:rPr>
            </w:pPr>
          </w:p>
        </w:tc>
        <w:tc>
          <w:tcPr>
            <w:tcW w:w="1380" w:type="dxa"/>
          </w:tcPr>
          <w:p w14:paraId="6B4A070B">
            <w:pPr>
              <w:spacing w:after="0" w:line="560" w:lineRule="exact"/>
              <w:ind w:firstLine="480" w:firstLineChars="200"/>
              <w:rPr>
                <w:rFonts w:ascii="仿宋" w:hAnsi="仿宋" w:eastAsia="仿宋"/>
                <w:bCs/>
                <w:color w:val="000000" w:themeColor="text1"/>
                <w:sz w:val="24"/>
                <w14:textFill>
                  <w14:solidFill>
                    <w14:schemeClr w14:val="tx1"/>
                  </w14:solidFill>
                </w14:textFill>
              </w:rPr>
            </w:pPr>
          </w:p>
        </w:tc>
        <w:tc>
          <w:tcPr>
            <w:tcW w:w="974" w:type="dxa"/>
          </w:tcPr>
          <w:p w14:paraId="4F6654AE">
            <w:pPr>
              <w:spacing w:after="0" w:line="560" w:lineRule="exact"/>
              <w:ind w:firstLine="480" w:firstLineChars="200"/>
              <w:rPr>
                <w:rFonts w:ascii="仿宋" w:hAnsi="仿宋" w:eastAsia="仿宋"/>
                <w:bCs/>
                <w:color w:val="000000" w:themeColor="text1"/>
                <w:sz w:val="24"/>
                <w14:textFill>
                  <w14:solidFill>
                    <w14:schemeClr w14:val="tx1"/>
                  </w14:solidFill>
                </w14:textFill>
              </w:rPr>
            </w:pPr>
          </w:p>
        </w:tc>
      </w:tr>
    </w:tbl>
    <w:p w14:paraId="3DC2E4B6">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p>
    <w:p w14:paraId="5C46B96A">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bookmarkStart w:id="204" w:name="OLE_LINK27"/>
      <w:bookmarkStart w:id="205" w:name="OLE_LINK30"/>
      <w:bookmarkStart w:id="206" w:name="_Hlk55208645"/>
      <w:r>
        <w:rPr>
          <w:rFonts w:ascii="仿宋" w:hAnsi="仿宋" w:eastAsia="仿宋"/>
          <w:bCs/>
          <w:color w:val="000000" w:themeColor="text1"/>
          <w:sz w:val="28"/>
          <w:szCs w:val="28"/>
          <w14:textFill>
            <w14:solidFill>
              <w14:schemeClr w14:val="tx1"/>
            </w14:solidFill>
          </w14:textFill>
        </w:rPr>
        <w:t>投标人名称（盖章）：</w:t>
      </w:r>
      <w:r>
        <w:rPr>
          <w:rFonts w:ascii="仿宋" w:hAnsi="仿宋" w:eastAsia="仿宋"/>
          <w:bCs/>
          <w:color w:val="000000" w:themeColor="text1"/>
          <w:sz w:val="28"/>
          <w:szCs w:val="28"/>
          <w:u w:val="single"/>
          <w14:textFill>
            <w14:solidFill>
              <w14:schemeClr w14:val="tx1"/>
            </w14:solidFill>
          </w14:textFill>
        </w:rPr>
        <w:t xml:space="preserve">                         </w:t>
      </w:r>
    </w:p>
    <w:p w14:paraId="2043FA91">
      <w:pPr>
        <w:spacing w:after="0" w:line="560" w:lineRule="exact"/>
        <w:ind w:firstLine="560" w:firstLineChars="200"/>
        <w:rPr>
          <w:rFonts w:ascii="仿宋" w:hAnsi="仿宋" w:eastAsia="仿宋"/>
          <w:bCs/>
          <w:color w:val="000000" w:themeColor="text1"/>
          <w:sz w:val="28"/>
          <w:szCs w:val="28"/>
          <w:u w:val="single"/>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投标人授权代表签字：</w:t>
      </w:r>
      <w:r>
        <w:rPr>
          <w:rFonts w:ascii="仿宋" w:hAnsi="仿宋" w:eastAsia="仿宋"/>
          <w:bCs/>
          <w:color w:val="000000" w:themeColor="text1"/>
          <w:sz w:val="28"/>
          <w:szCs w:val="28"/>
          <w:u w:val="single"/>
          <w14:textFill>
            <w14:solidFill>
              <w14:schemeClr w14:val="tx1"/>
            </w14:solidFill>
          </w14:textFill>
        </w:rPr>
        <w:t xml:space="preserve">                       </w:t>
      </w:r>
    </w:p>
    <w:p w14:paraId="6AF04518">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日期：</w:t>
      </w:r>
      <w:r>
        <w:rPr>
          <w:rFonts w:ascii="仿宋" w:hAnsi="仿宋" w:eastAsia="仿宋"/>
          <w:bCs/>
          <w:color w:val="000000" w:themeColor="text1"/>
          <w:sz w:val="28"/>
          <w:szCs w:val="28"/>
          <w14:textFill>
            <w14:solidFill>
              <w14:schemeClr w14:val="tx1"/>
            </w14:solidFill>
          </w14:textFill>
        </w:rPr>
        <w:t xml:space="preserve">  </w:t>
      </w:r>
      <w:bookmarkEnd w:id="204"/>
      <w:bookmarkEnd w:id="205"/>
      <w:r>
        <w:rPr>
          <w:rFonts w:ascii="仿宋" w:hAnsi="仿宋" w:eastAsia="仿宋"/>
          <w:bCs/>
          <w:color w:val="000000" w:themeColor="text1"/>
          <w:sz w:val="28"/>
          <w:szCs w:val="28"/>
          <w14:textFill>
            <w14:solidFill>
              <w14:schemeClr w14:val="tx1"/>
            </w14:solidFill>
          </w14:textFill>
        </w:rPr>
        <w:t xml:space="preserve">                                    </w:t>
      </w:r>
    </w:p>
    <w:bookmarkEnd w:id="206"/>
    <w:p w14:paraId="45F7A750">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p>
    <w:p w14:paraId="1ABC1A5E">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注：1. 报价应包含完成本项目所需的技术服务费、劳务费、管理费、利润、税金以及验收费等全部费用（采购人不再另行支付其他费用）。</w:t>
      </w:r>
    </w:p>
    <w:p w14:paraId="2BCC1934">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服务期：自加入集合计划后3年。</w:t>
      </w:r>
    </w:p>
    <w:p w14:paraId="0A989A60">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服务标准：符合法律法规及采购人要求。</w:t>
      </w:r>
      <w:bookmarkStart w:id="210" w:name="_GoBack"/>
      <w:bookmarkEnd w:id="210"/>
    </w:p>
    <w:p w14:paraId="379C61AF">
      <w:pPr>
        <w:spacing w:after="0" w:line="5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服务地点：内蒙古自治区赤峰市。</w:t>
      </w:r>
    </w:p>
    <w:p w14:paraId="007467B2">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此表应按规定装订在投标文件中，并再另行单独密封递交一份；</w:t>
      </w:r>
    </w:p>
    <w:p w14:paraId="0787BF6E">
      <w:pPr>
        <w:spacing w:after="0" w:line="560" w:lineRule="exact"/>
        <w:ind w:firstLine="560" w:firstLineChars="200"/>
        <w:rPr>
          <w:rFonts w:ascii="宋体" w:hAnsi="宋体" w:eastAsia="仿宋"/>
          <w:b/>
          <w:bCs/>
          <w:color w:val="000000" w:themeColor="text1"/>
          <w:sz w:val="24"/>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此</w:t>
      </w:r>
      <w:r>
        <w:rPr>
          <w:rFonts w:ascii="仿宋" w:hAnsi="仿宋" w:eastAsia="仿宋"/>
          <w:bCs/>
          <w:color w:val="000000" w:themeColor="text1"/>
          <w:sz w:val="28"/>
          <w:szCs w:val="28"/>
          <w14:textFill>
            <w14:solidFill>
              <w14:schemeClr w14:val="tx1"/>
            </w14:solidFill>
          </w14:textFill>
        </w:rPr>
        <w:t>表必须有正式授权代表或法定代表人签字</w:t>
      </w:r>
      <w:r>
        <w:rPr>
          <w:rFonts w:hint="eastAsia" w:ascii="仿宋" w:hAnsi="仿宋" w:eastAsia="仿宋"/>
          <w:bCs/>
          <w:color w:val="000000" w:themeColor="text1"/>
          <w:sz w:val="28"/>
          <w:szCs w:val="28"/>
          <w14:textFill>
            <w14:solidFill>
              <w14:schemeClr w14:val="tx1"/>
            </w14:solidFill>
          </w14:textFill>
        </w:rPr>
        <w:t>或</w:t>
      </w:r>
      <w:r>
        <w:rPr>
          <w:rFonts w:ascii="仿宋" w:hAnsi="仿宋" w:eastAsia="仿宋"/>
          <w:bCs/>
          <w:color w:val="000000" w:themeColor="text1"/>
          <w:sz w:val="28"/>
          <w:szCs w:val="28"/>
          <w14:textFill>
            <w14:solidFill>
              <w14:schemeClr w14:val="tx1"/>
            </w14:solidFill>
          </w14:textFill>
        </w:rPr>
        <w:t>盖章，否则按无效投标处理。</w:t>
      </w:r>
    </w:p>
    <w:p w14:paraId="15418F42">
      <w:pPr>
        <w:ind w:left="720"/>
        <w:rPr>
          <w:rFonts w:ascii="宋体" w:hAnsi="宋体" w:eastAsia="仿宋"/>
          <w:b/>
          <w:bCs/>
          <w:color w:val="000000" w:themeColor="text1"/>
          <w:sz w:val="24"/>
          <w14:textFill>
            <w14:solidFill>
              <w14:schemeClr w14:val="tx1"/>
            </w14:solidFill>
          </w14:textFill>
        </w:rPr>
      </w:pPr>
      <w:r>
        <w:rPr>
          <w:rFonts w:ascii="宋体" w:hAnsi="宋体" w:eastAsia="仿宋"/>
          <w:b/>
          <w:bCs/>
          <w:color w:val="000000" w:themeColor="text1"/>
          <w:sz w:val="24"/>
          <w14:textFill>
            <w14:solidFill>
              <w14:schemeClr w14:val="tx1"/>
            </w14:solidFill>
          </w14:textFill>
        </w:rPr>
        <w:br w:type="page"/>
      </w:r>
    </w:p>
    <w:p w14:paraId="01C6C379">
      <w:pPr>
        <w:pStyle w:val="4"/>
        <w:ind w:firstLine="560"/>
      </w:pPr>
      <w:r>
        <w:rPr>
          <w:rFonts w:hint="eastAsia"/>
        </w:rPr>
        <w:t>1.2.1受托管理所涉及的其他管理费报价表（中标人中标后按此报价进行结算收费）</w:t>
      </w:r>
    </w:p>
    <w:tbl>
      <w:tblPr>
        <w:tblStyle w:val="12"/>
        <w:tblW w:w="52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2244"/>
        <w:gridCol w:w="1709"/>
        <w:gridCol w:w="1459"/>
        <w:gridCol w:w="1281"/>
        <w:gridCol w:w="653"/>
      </w:tblGrid>
      <w:tr w14:paraId="0370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2" w:type="pct"/>
            <w:vMerge w:val="restart"/>
            <w:vAlign w:val="center"/>
          </w:tcPr>
          <w:p w14:paraId="19BC8A4A">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服务名称</w:t>
            </w:r>
          </w:p>
        </w:tc>
        <w:tc>
          <w:tcPr>
            <w:tcW w:w="3752" w:type="pct"/>
            <w:gridSpan w:val="4"/>
            <w:vAlign w:val="center"/>
          </w:tcPr>
          <w:p w14:paraId="28976A36">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其他管理费收费报价</w:t>
            </w:r>
          </w:p>
        </w:tc>
        <w:tc>
          <w:tcPr>
            <w:tcW w:w="366" w:type="pct"/>
            <w:vMerge w:val="restart"/>
            <w:vAlign w:val="center"/>
          </w:tcPr>
          <w:p w14:paraId="00882E99">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备注</w:t>
            </w:r>
          </w:p>
        </w:tc>
      </w:tr>
      <w:tr w14:paraId="7119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82" w:type="pct"/>
            <w:vMerge w:val="continue"/>
            <w:vAlign w:val="center"/>
          </w:tcPr>
          <w:p w14:paraId="08E25F74">
            <w:pPr>
              <w:pStyle w:val="6"/>
              <w:snapToGrid w:val="0"/>
              <w:spacing w:line="240" w:lineRule="auto"/>
              <w:jc w:val="left"/>
              <w:rPr>
                <w:rFonts w:ascii="仿宋" w:hAnsi="仿宋"/>
                <w:b/>
                <w:bCs/>
                <w:color w:val="000000" w:themeColor="text1"/>
                <w14:textFill>
                  <w14:solidFill>
                    <w14:schemeClr w14:val="tx1"/>
                  </w14:solidFill>
                </w14:textFill>
              </w:rPr>
            </w:pPr>
          </w:p>
        </w:tc>
        <w:tc>
          <w:tcPr>
            <w:tcW w:w="1258" w:type="pct"/>
            <w:vAlign w:val="center"/>
          </w:tcPr>
          <w:p w14:paraId="02D5FB03">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账户管理费</w:t>
            </w:r>
          </w:p>
          <w:p w14:paraId="65AF68EC">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（元/每户/每月）</w:t>
            </w:r>
          </w:p>
        </w:tc>
        <w:tc>
          <w:tcPr>
            <w:tcW w:w="958" w:type="pct"/>
          </w:tcPr>
          <w:p w14:paraId="5B54738E">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托管管理费</w:t>
            </w:r>
          </w:p>
          <w:p w14:paraId="155922CB">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（费率/年）</w:t>
            </w:r>
          </w:p>
        </w:tc>
        <w:tc>
          <w:tcPr>
            <w:tcW w:w="1536" w:type="pct"/>
            <w:gridSpan w:val="2"/>
          </w:tcPr>
          <w:p w14:paraId="21A6BEB6">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投资管理费</w:t>
            </w:r>
          </w:p>
          <w:p w14:paraId="4A22F281">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（费率/年）</w:t>
            </w:r>
          </w:p>
        </w:tc>
        <w:tc>
          <w:tcPr>
            <w:tcW w:w="366" w:type="pct"/>
            <w:vMerge w:val="continue"/>
            <w:vAlign w:val="center"/>
          </w:tcPr>
          <w:p w14:paraId="0BFC8224">
            <w:pPr>
              <w:pStyle w:val="6"/>
              <w:snapToGrid w:val="0"/>
              <w:spacing w:line="240" w:lineRule="auto"/>
              <w:jc w:val="center"/>
              <w:rPr>
                <w:rFonts w:ascii="仿宋" w:hAnsi="仿宋"/>
                <w:b/>
                <w:bCs/>
                <w:color w:val="000000" w:themeColor="text1"/>
                <w14:textFill>
                  <w14:solidFill>
                    <w14:schemeClr w14:val="tx1"/>
                  </w14:solidFill>
                </w14:textFill>
              </w:rPr>
            </w:pPr>
          </w:p>
        </w:tc>
      </w:tr>
      <w:tr w14:paraId="70F8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82" w:type="pct"/>
            <w:vMerge w:val="restart"/>
            <w:vAlign w:val="center"/>
          </w:tcPr>
          <w:p w14:paraId="74A33631">
            <w:pPr>
              <w:pStyle w:val="6"/>
              <w:snapToGrid w:val="0"/>
              <w:spacing w:line="240" w:lineRule="auto"/>
              <w:jc w:val="center"/>
              <w:rPr>
                <w:rFonts w:ascii="仿宋" w:hAnsi="仿宋"/>
                <w:b/>
                <w:bCs/>
                <w:color w:val="000000" w:themeColor="text1"/>
                <w14:textFill>
                  <w14:solidFill>
                    <w14:schemeClr w14:val="tx1"/>
                  </w14:solidFill>
                </w14:textFill>
              </w:rPr>
            </w:pPr>
            <w:bookmarkStart w:id="207" w:name="_Hlk215831066"/>
            <w:bookmarkStart w:id="208" w:name="_Hlk215318316"/>
          </w:p>
        </w:tc>
        <w:tc>
          <w:tcPr>
            <w:tcW w:w="1258" w:type="pct"/>
            <w:vMerge w:val="restart"/>
            <w:vAlign w:val="center"/>
          </w:tcPr>
          <w:p w14:paraId="54534CCC">
            <w:pPr>
              <w:pStyle w:val="6"/>
              <w:snapToGrid w:val="0"/>
              <w:spacing w:line="240" w:lineRule="auto"/>
              <w:jc w:val="center"/>
              <w:rPr>
                <w:rFonts w:ascii="仿宋" w:hAnsi="仿宋"/>
                <w:b/>
                <w:bCs/>
                <w:color w:val="000000" w:themeColor="text1"/>
                <w14:textFill>
                  <w14:solidFill>
                    <w14:schemeClr w14:val="tx1"/>
                  </w14:solidFill>
                </w14:textFill>
              </w:rPr>
            </w:pPr>
          </w:p>
        </w:tc>
        <w:tc>
          <w:tcPr>
            <w:tcW w:w="958" w:type="pct"/>
            <w:vMerge w:val="restart"/>
          </w:tcPr>
          <w:p w14:paraId="1AB618A9">
            <w:pPr>
              <w:pStyle w:val="6"/>
              <w:snapToGrid w:val="0"/>
              <w:spacing w:line="240" w:lineRule="auto"/>
              <w:jc w:val="center"/>
              <w:rPr>
                <w:rFonts w:ascii="仿宋" w:hAnsi="仿宋"/>
                <w:b/>
                <w:bCs/>
                <w:color w:val="000000" w:themeColor="text1"/>
                <w14:textFill>
                  <w14:solidFill>
                    <w14:schemeClr w14:val="tx1"/>
                  </w14:solidFill>
                </w14:textFill>
              </w:rPr>
            </w:pPr>
          </w:p>
        </w:tc>
        <w:tc>
          <w:tcPr>
            <w:tcW w:w="818" w:type="pct"/>
          </w:tcPr>
          <w:p w14:paraId="56DCCA1C">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含权益类</w:t>
            </w:r>
          </w:p>
        </w:tc>
        <w:tc>
          <w:tcPr>
            <w:tcW w:w="718" w:type="pct"/>
          </w:tcPr>
          <w:p w14:paraId="4EF9E9B7">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非权益类</w:t>
            </w:r>
          </w:p>
        </w:tc>
        <w:tc>
          <w:tcPr>
            <w:tcW w:w="366" w:type="pct"/>
            <w:vMerge w:val="restart"/>
            <w:vAlign w:val="center"/>
          </w:tcPr>
          <w:p w14:paraId="321F2C72">
            <w:pPr>
              <w:pStyle w:val="6"/>
              <w:snapToGrid w:val="0"/>
              <w:spacing w:line="240" w:lineRule="auto"/>
              <w:jc w:val="center"/>
              <w:rPr>
                <w:rFonts w:ascii="仿宋" w:hAnsi="仿宋"/>
                <w:b/>
                <w:bCs/>
                <w:color w:val="000000" w:themeColor="text1"/>
                <w14:textFill>
                  <w14:solidFill>
                    <w14:schemeClr w14:val="tx1"/>
                  </w14:solidFill>
                </w14:textFill>
              </w:rPr>
            </w:pPr>
          </w:p>
        </w:tc>
      </w:tr>
      <w:tr w14:paraId="4894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82" w:type="pct"/>
            <w:vMerge w:val="continue"/>
            <w:vAlign w:val="center"/>
          </w:tcPr>
          <w:p w14:paraId="743AA47C">
            <w:pPr>
              <w:pStyle w:val="6"/>
              <w:snapToGrid w:val="0"/>
              <w:spacing w:line="240" w:lineRule="auto"/>
              <w:jc w:val="center"/>
              <w:rPr>
                <w:rFonts w:ascii="仿宋" w:hAnsi="仿宋"/>
                <w:b/>
                <w:bCs/>
                <w:color w:val="000000" w:themeColor="text1"/>
                <w14:textFill>
                  <w14:solidFill>
                    <w14:schemeClr w14:val="tx1"/>
                  </w14:solidFill>
                </w14:textFill>
              </w:rPr>
            </w:pPr>
          </w:p>
        </w:tc>
        <w:tc>
          <w:tcPr>
            <w:tcW w:w="1258" w:type="pct"/>
            <w:vMerge w:val="continue"/>
            <w:vAlign w:val="center"/>
          </w:tcPr>
          <w:p w14:paraId="08C5177F">
            <w:pPr>
              <w:pStyle w:val="6"/>
              <w:snapToGrid w:val="0"/>
              <w:spacing w:line="240" w:lineRule="auto"/>
              <w:jc w:val="center"/>
              <w:rPr>
                <w:rFonts w:ascii="仿宋" w:hAnsi="仿宋"/>
                <w:b/>
                <w:bCs/>
                <w:color w:val="000000" w:themeColor="text1"/>
                <w14:textFill>
                  <w14:solidFill>
                    <w14:schemeClr w14:val="tx1"/>
                  </w14:solidFill>
                </w14:textFill>
              </w:rPr>
            </w:pPr>
          </w:p>
        </w:tc>
        <w:tc>
          <w:tcPr>
            <w:tcW w:w="958" w:type="pct"/>
            <w:vMerge w:val="continue"/>
          </w:tcPr>
          <w:p w14:paraId="0C230CBA">
            <w:pPr>
              <w:pStyle w:val="6"/>
              <w:snapToGrid w:val="0"/>
              <w:spacing w:line="240" w:lineRule="auto"/>
              <w:jc w:val="center"/>
              <w:rPr>
                <w:rFonts w:ascii="仿宋" w:hAnsi="仿宋"/>
                <w:b/>
                <w:bCs/>
                <w:color w:val="000000" w:themeColor="text1"/>
                <w14:textFill>
                  <w14:solidFill>
                    <w14:schemeClr w14:val="tx1"/>
                  </w14:solidFill>
                </w14:textFill>
              </w:rPr>
            </w:pPr>
          </w:p>
        </w:tc>
        <w:tc>
          <w:tcPr>
            <w:tcW w:w="818" w:type="pct"/>
          </w:tcPr>
          <w:p w14:paraId="37ABE7C7">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w:t>
            </w:r>
          </w:p>
        </w:tc>
        <w:tc>
          <w:tcPr>
            <w:tcW w:w="718" w:type="pct"/>
          </w:tcPr>
          <w:p w14:paraId="4CF9BEDC">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w:t>
            </w:r>
          </w:p>
        </w:tc>
        <w:tc>
          <w:tcPr>
            <w:tcW w:w="366" w:type="pct"/>
            <w:vMerge w:val="continue"/>
            <w:vAlign w:val="center"/>
          </w:tcPr>
          <w:p w14:paraId="58E79D93">
            <w:pPr>
              <w:pStyle w:val="6"/>
              <w:snapToGrid w:val="0"/>
              <w:spacing w:line="240" w:lineRule="auto"/>
              <w:jc w:val="center"/>
              <w:rPr>
                <w:rFonts w:ascii="仿宋" w:hAnsi="仿宋"/>
                <w:b/>
                <w:bCs/>
                <w:color w:val="000000" w:themeColor="text1"/>
                <w14:textFill>
                  <w14:solidFill>
                    <w14:schemeClr w14:val="tx1"/>
                  </w14:solidFill>
                </w14:textFill>
              </w:rPr>
            </w:pPr>
          </w:p>
        </w:tc>
      </w:tr>
      <w:bookmarkEnd w:id="207"/>
      <w:tr w14:paraId="0075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82" w:type="pct"/>
            <w:vMerge w:val="continue"/>
            <w:vAlign w:val="center"/>
          </w:tcPr>
          <w:p w14:paraId="58FA6334">
            <w:pPr>
              <w:pStyle w:val="6"/>
              <w:snapToGrid w:val="0"/>
              <w:spacing w:line="240" w:lineRule="auto"/>
              <w:jc w:val="center"/>
              <w:rPr>
                <w:rFonts w:ascii="仿宋" w:hAnsi="仿宋"/>
                <w:b/>
                <w:bCs/>
                <w:color w:val="000000" w:themeColor="text1"/>
                <w14:textFill>
                  <w14:solidFill>
                    <w14:schemeClr w14:val="tx1"/>
                  </w14:solidFill>
                </w14:textFill>
              </w:rPr>
            </w:pPr>
          </w:p>
        </w:tc>
        <w:tc>
          <w:tcPr>
            <w:tcW w:w="1258" w:type="pct"/>
            <w:vMerge w:val="continue"/>
            <w:vAlign w:val="center"/>
          </w:tcPr>
          <w:p w14:paraId="18BC9E6E">
            <w:pPr>
              <w:pStyle w:val="6"/>
              <w:snapToGrid w:val="0"/>
              <w:spacing w:line="240" w:lineRule="auto"/>
              <w:jc w:val="center"/>
              <w:rPr>
                <w:rFonts w:ascii="仿宋" w:hAnsi="仿宋"/>
                <w:b/>
                <w:bCs/>
                <w:color w:val="000000" w:themeColor="text1"/>
                <w14:textFill>
                  <w14:solidFill>
                    <w14:schemeClr w14:val="tx1"/>
                  </w14:solidFill>
                </w14:textFill>
              </w:rPr>
            </w:pPr>
          </w:p>
        </w:tc>
        <w:tc>
          <w:tcPr>
            <w:tcW w:w="958" w:type="pct"/>
            <w:vMerge w:val="continue"/>
          </w:tcPr>
          <w:p w14:paraId="1716A1F4">
            <w:pPr>
              <w:pStyle w:val="6"/>
              <w:snapToGrid w:val="0"/>
              <w:spacing w:line="240" w:lineRule="auto"/>
              <w:jc w:val="center"/>
              <w:rPr>
                <w:rFonts w:ascii="仿宋" w:hAnsi="仿宋"/>
                <w:b/>
                <w:bCs/>
                <w:color w:val="000000" w:themeColor="text1"/>
                <w14:textFill>
                  <w14:solidFill>
                    <w14:schemeClr w14:val="tx1"/>
                  </w14:solidFill>
                </w14:textFill>
              </w:rPr>
            </w:pPr>
          </w:p>
        </w:tc>
        <w:tc>
          <w:tcPr>
            <w:tcW w:w="1536" w:type="pct"/>
            <w:gridSpan w:val="2"/>
          </w:tcPr>
          <w:p w14:paraId="59203D4E">
            <w:pPr>
              <w:pStyle w:val="6"/>
              <w:snapToGrid w:val="0"/>
              <w:spacing w:line="240" w:lineRule="auto"/>
              <w:jc w:val="center"/>
              <w:rPr>
                <w:rFonts w:ascii="仿宋" w:hAnsi="仿宋"/>
                <w:b/>
                <w:bCs/>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 xml:space="preserve">综合： </w:t>
            </w:r>
            <w:r>
              <w:rPr>
                <w:rFonts w:ascii="仿宋" w:hAnsi="仿宋"/>
                <w:b/>
                <w:bCs/>
                <w:color w:val="000000" w:themeColor="text1"/>
                <w14:textFill>
                  <w14:solidFill>
                    <w14:schemeClr w14:val="tx1"/>
                  </w14:solidFill>
                </w14:textFill>
              </w:rPr>
              <w:t xml:space="preserve"> </w:t>
            </w:r>
            <w:r>
              <w:rPr>
                <w:rFonts w:hint="eastAsia" w:ascii="仿宋" w:hAnsi="仿宋"/>
                <w:b/>
                <w:bCs/>
                <w:color w:val="000000" w:themeColor="text1"/>
                <w14:textFill>
                  <w14:solidFill>
                    <w14:schemeClr w14:val="tx1"/>
                  </w14:solidFill>
                </w14:textFill>
              </w:rPr>
              <w:t>%</w:t>
            </w:r>
          </w:p>
        </w:tc>
        <w:tc>
          <w:tcPr>
            <w:tcW w:w="366" w:type="pct"/>
            <w:vMerge w:val="continue"/>
            <w:vAlign w:val="center"/>
          </w:tcPr>
          <w:p w14:paraId="4162A58D">
            <w:pPr>
              <w:pStyle w:val="6"/>
              <w:snapToGrid w:val="0"/>
              <w:spacing w:line="240" w:lineRule="auto"/>
              <w:jc w:val="center"/>
              <w:rPr>
                <w:rFonts w:ascii="仿宋" w:hAnsi="仿宋"/>
                <w:b/>
                <w:bCs/>
                <w:color w:val="000000" w:themeColor="text1"/>
                <w14:textFill>
                  <w14:solidFill>
                    <w14:schemeClr w14:val="tx1"/>
                  </w14:solidFill>
                </w14:textFill>
              </w:rPr>
            </w:pPr>
          </w:p>
        </w:tc>
      </w:tr>
      <w:bookmarkEnd w:id="208"/>
    </w:tbl>
    <w:p w14:paraId="57DE582A">
      <w:pPr>
        <w:pStyle w:val="6"/>
        <w:snapToGrid w:val="0"/>
        <w:spacing w:line="240" w:lineRule="auto"/>
        <w:jc w:val="center"/>
        <w:rPr>
          <w:rFonts w:ascii="宋体" w:hAnsi="宋体"/>
          <w:b/>
          <w:bCs/>
          <w:color w:val="000000" w:themeColor="text1"/>
          <w14:textFill>
            <w14:solidFill>
              <w14:schemeClr w14:val="tx1"/>
            </w14:solidFill>
          </w14:textFill>
        </w:rPr>
      </w:pPr>
    </w:p>
    <w:p w14:paraId="07E934A1">
      <w:pPr>
        <w:pStyle w:val="7"/>
        <w:rPr>
          <w:rFonts w:ascii="宋体" w:hAnsi="宋体" w:cstheme="minorBidi"/>
          <w:b/>
          <w:bCs/>
          <w:color w:val="000000" w:themeColor="text1"/>
          <w14:textFill>
            <w14:solidFill>
              <w14:schemeClr w14:val="tx1"/>
            </w14:solidFill>
          </w14:textFill>
          <w14:ligatures w14:val="standardContextual"/>
        </w:rPr>
      </w:pPr>
    </w:p>
    <w:p w14:paraId="1894B126">
      <w:pPr>
        <w:rPr>
          <w:rFonts w:ascii="宋体" w:hAnsi="宋体" w:eastAsia="仿宋"/>
          <w:b/>
          <w:bCs/>
          <w:color w:val="000000" w:themeColor="text1"/>
          <w:sz w:val="24"/>
          <w14:textFill>
            <w14:solidFill>
              <w14:schemeClr w14:val="tx1"/>
            </w14:solidFill>
          </w14:textFill>
        </w:rPr>
      </w:pPr>
    </w:p>
    <w:p w14:paraId="37C77246">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投标人名称（盖章）：</w:t>
      </w:r>
      <w:r>
        <w:rPr>
          <w:rFonts w:ascii="仿宋" w:hAnsi="仿宋" w:eastAsia="仿宋"/>
          <w:bCs/>
          <w:color w:val="000000" w:themeColor="text1"/>
          <w:sz w:val="28"/>
          <w:szCs w:val="28"/>
          <w:u w:val="single"/>
          <w14:textFill>
            <w14:solidFill>
              <w14:schemeClr w14:val="tx1"/>
            </w14:solidFill>
          </w14:textFill>
        </w:rPr>
        <w:t xml:space="preserve">                         </w:t>
      </w:r>
    </w:p>
    <w:p w14:paraId="7977C144">
      <w:pPr>
        <w:spacing w:after="0" w:line="560" w:lineRule="exact"/>
        <w:ind w:firstLine="560" w:firstLineChars="200"/>
        <w:rPr>
          <w:rFonts w:ascii="仿宋" w:hAnsi="仿宋" w:eastAsia="仿宋"/>
          <w:bCs/>
          <w:color w:val="000000" w:themeColor="text1"/>
          <w:sz w:val="28"/>
          <w:szCs w:val="28"/>
          <w:u w:val="single"/>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投标人授权代表签字：</w:t>
      </w:r>
      <w:r>
        <w:rPr>
          <w:rFonts w:ascii="仿宋" w:hAnsi="仿宋" w:eastAsia="仿宋"/>
          <w:bCs/>
          <w:color w:val="000000" w:themeColor="text1"/>
          <w:sz w:val="28"/>
          <w:szCs w:val="28"/>
          <w:u w:val="single"/>
          <w14:textFill>
            <w14:solidFill>
              <w14:schemeClr w14:val="tx1"/>
            </w14:solidFill>
          </w14:textFill>
        </w:rPr>
        <w:t xml:space="preserve">                       </w:t>
      </w:r>
    </w:p>
    <w:p w14:paraId="1CB22105">
      <w:pPr>
        <w:ind w:firstLine="560" w:firstLineChars="200"/>
        <w:rPr>
          <w:rFonts w:ascii="宋体" w:hAnsi="宋体" w:eastAsia="仿宋"/>
          <w:b/>
          <w:bCs/>
          <w:color w:val="000000" w:themeColor="text1"/>
          <w:sz w:val="24"/>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日期：</w:t>
      </w:r>
      <w:r>
        <w:rPr>
          <w:rFonts w:ascii="仿宋" w:hAnsi="仿宋" w:eastAsia="仿宋"/>
          <w:bCs/>
          <w:color w:val="000000" w:themeColor="text1"/>
          <w:sz w:val="28"/>
          <w:szCs w:val="28"/>
          <w14:textFill>
            <w14:solidFill>
              <w14:schemeClr w14:val="tx1"/>
            </w14:solidFill>
          </w14:textFill>
        </w:rPr>
        <w:t xml:space="preserve">  </w:t>
      </w:r>
      <w:r>
        <w:rPr>
          <w:rFonts w:hint="eastAsia" w:ascii="宋体" w:hAnsi="宋体" w:eastAsia="仿宋"/>
          <w:b/>
          <w:bCs/>
          <w:color w:val="000000" w:themeColor="text1"/>
          <w:sz w:val="24"/>
          <w14:textFill>
            <w14:solidFill>
              <w14:schemeClr w14:val="tx1"/>
            </w14:solidFill>
          </w14:textFill>
        </w:rPr>
        <w:t xml:space="preserve">                                  </w:t>
      </w:r>
      <w:r>
        <w:rPr>
          <w:rFonts w:hint="eastAsia" w:ascii="宋体" w:hAnsi="宋体" w:eastAsia="仿宋"/>
          <w:b/>
          <w:bCs/>
          <w:color w:val="000000" w:themeColor="text1"/>
          <w:sz w:val="24"/>
          <w14:textFill>
            <w14:solidFill>
              <w14:schemeClr w14:val="tx1"/>
            </w14:solidFill>
          </w14:textFill>
        </w:rPr>
        <w:tab/>
      </w:r>
    </w:p>
    <w:p w14:paraId="7F738315">
      <w:pPr>
        <w:widowControl/>
        <w:rPr>
          <w:rFonts w:ascii="宋体" w:hAnsi="宋体" w:eastAsia="仿宋"/>
          <w:b/>
          <w:bCs/>
          <w:color w:val="000000" w:themeColor="text1"/>
          <w:sz w:val="24"/>
          <w14:textFill>
            <w14:solidFill>
              <w14:schemeClr w14:val="tx1"/>
            </w14:solidFill>
          </w14:textFill>
        </w:rPr>
      </w:pPr>
      <w:r>
        <w:rPr>
          <w:rFonts w:ascii="宋体" w:hAnsi="宋体" w:eastAsia="仿宋"/>
          <w:b/>
          <w:bCs/>
          <w:color w:val="000000" w:themeColor="text1"/>
          <w:sz w:val="24"/>
          <w14:textFill>
            <w14:solidFill>
              <w14:schemeClr w14:val="tx1"/>
            </w14:solidFill>
          </w14:textFill>
        </w:rPr>
        <w:br w:type="page"/>
      </w:r>
    </w:p>
    <w:p w14:paraId="4BD2376C">
      <w:pPr>
        <w:pStyle w:val="3"/>
        <w:ind w:firstLine="562"/>
      </w:pPr>
      <w:r>
        <w:rPr>
          <w:rFonts w:hint="eastAsia"/>
        </w:rPr>
        <w:t>2.1 投标人基本情况表</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2"/>
        <w:gridCol w:w="946"/>
        <w:gridCol w:w="933"/>
        <w:gridCol w:w="793"/>
        <w:gridCol w:w="298"/>
        <w:gridCol w:w="1271"/>
        <w:gridCol w:w="457"/>
        <w:gridCol w:w="145"/>
        <w:gridCol w:w="1901"/>
      </w:tblGrid>
      <w:tr w14:paraId="2347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945" w:type="pct"/>
            <w:vAlign w:val="center"/>
          </w:tcPr>
          <w:p w14:paraId="6ACA6B1E">
            <w:pPr>
              <w:pStyle w:val="20"/>
              <w:spacing w:before="1"/>
              <w:ind w:right="2" w:firstLine="55" w:firstLineChars="23"/>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投标人名称</w:t>
            </w:r>
          </w:p>
        </w:tc>
        <w:tc>
          <w:tcPr>
            <w:tcW w:w="4055" w:type="pct"/>
            <w:gridSpan w:val="8"/>
            <w:vAlign w:val="center"/>
          </w:tcPr>
          <w:p w14:paraId="727C3D48">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r>
      <w:tr w14:paraId="2E71F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45" w:type="pct"/>
            <w:vAlign w:val="center"/>
          </w:tcPr>
          <w:p w14:paraId="4D45730F">
            <w:pPr>
              <w:pStyle w:val="20"/>
              <w:ind w:left="-28" w:right="2"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注册地址</w:t>
            </w:r>
          </w:p>
        </w:tc>
        <w:tc>
          <w:tcPr>
            <w:tcW w:w="1786" w:type="pct"/>
            <w:gridSpan w:val="4"/>
            <w:vAlign w:val="center"/>
          </w:tcPr>
          <w:p w14:paraId="7C5BD665">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p>
        </w:tc>
        <w:tc>
          <w:tcPr>
            <w:tcW w:w="764" w:type="pct"/>
            <w:vAlign w:val="center"/>
          </w:tcPr>
          <w:p w14:paraId="3B75AF8F">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邮政编码</w:t>
            </w:r>
          </w:p>
        </w:tc>
        <w:tc>
          <w:tcPr>
            <w:tcW w:w="1505" w:type="pct"/>
            <w:gridSpan w:val="3"/>
            <w:vAlign w:val="center"/>
          </w:tcPr>
          <w:p w14:paraId="2CDCD206">
            <w:pPr>
              <w:pStyle w:val="20"/>
              <w:ind w:left="-28" w:firstLine="55" w:firstLineChars="23"/>
              <w:rPr>
                <w:rFonts w:eastAsia="仿宋" w:cstheme="minorBidi"/>
                <w:bCs/>
                <w:color w:val="000000" w:themeColor="text1"/>
                <w:sz w:val="24"/>
                <w14:textFill>
                  <w14:solidFill>
                    <w14:schemeClr w14:val="tx1"/>
                  </w14:solidFill>
                </w14:textFill>
                <w14:ligatures w14:val="standardContextual"/>
              </w:rPr>
            </w:pPr>
          </w:p>
        </w:tc>
      </w:tr>
      <w:tr w14:paraId="3D27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945" w:type="pct"/>
            <w:vMerge w:val="restart"/>
            <w:vAlign w:val="center"/>
          </w:tcPr>
          <w:p w14:paraId="4367C571">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联系人</w:t>
            </w:r>
          </w:p>
        </w:tc>
        <w:tc>
          <w:tcPr>
            <w:tcW w:w="569" w:type="pct"/>
            <w:vAlign w:val="center"/>
          </w:tcPr>
          <w:p w14:paraId="619EB3E6">
            <w:pPr>
              <w:pStyle w:val="20"/>
              <w:ind w:left="-28" w:right="2"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联系人</w:t>
            </w:r>
          </w:p>
        </w:tc>
        <w:tc>
          <w:tcPr>
            <w:tcW w:w="1217" w:type="pct"/>
            <w:gridSpan w:val="3"/>
            <w:vAlign w:val="center"/>
          </w:tcPr>
          <w:p w14:paraId="20686DFA">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p>
        </w:tc>
        <w:tc>
          <w:tcPr>
            <w:tcW w:w="764" w:type="pct"/>
            <w:vAlign w:val="center"/>
          </w:tcPr>
          <w:p w14:paraId="4C96A5AF">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电话</w:t>
            </w:r>
          </w:p>
        </w:tc>
        <w:tc>
          <w:tcPr>
            <w:tcW w:w="1505" w:type="pct"/>
            <w:gridSpan w:val="3"/>
            <w:vAlign w:val="center"/>
          </w:tcPr>
          <w:p w14:paraId="4A5F17F8">
            <w:pPr>
              <w:pStyle w:val="20"/>
              <w:ind w:left="-28" w:firstLine="55" w:firstLineChars="23"/>
              <w:rPr>
                <w:rFonts w:eastAsia="仿宋" w:cstheme="minorBidi"/>
                <w:bCs/>
                <w:color w:val="000000" w:themeColor="text1"/>
                <w:sz w:val="24"/>
                <w14:textFill>
                  <w14:solidFill>
                    <w14:schemeClr w14:val="tx1"/>
                  </w14:solidFill>
                </w14:textFill>
                <w14:ligatures w14:val="standardContextual"/>
              </w:rPr>
            </w:pPr>
          </w:p>
        </w:tc>
      </w:tr>
      <w:tr w14:paraId="1247E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945" w:type="pct"/>
            <w:vMerge w:val="continue"/>
            <w:tcBorders>
              <w:top w:val="nil"/>
            </w:tcBorders>
            <w:vAlign w:val="center"/>
          </w:tcPr>
          <w:p w14:paraId="2B913B91">
            <w:pPr>
              <w:ind w:left="-28" w:firstLine="55" w:firstLineChars="23"/>
              <w:jc w:val="center"/>
              <w:rPr>
                <w:rFonts w:ascii="宋体" w:hAnsi="宋体" w:eastAsia="仿宋"/>
                <w:bCs/>
                <w:color w:val="000000" w:themeColor="text1"/>
                <w:sz w:val="24"/>
                <w14:textFill>
                  <w14:solidFill>
                    <w14:schemeClr w14:val="tx1"/>
                  </w14:solidFill>
                </w14:textFill>
              </w:rPr>
            </w:pPr>
          </w:p>
        </w:tc>
        <w:tc>
          <w:tcPr>
            <w:tcW w:w="569" w:type="pct"/>
            <w:vAlign w:val="center"/>
          </w:tcPr>
          <w:p w14:paraId="06E9228C">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传真</w:t>
            </w:r>
          </w:p>
        </w:tc>
        <w:tc>
          <w:tcPr>
            <w:tcW w:w="1217" w:type="pct"/>
            <w:gridSpan w:val="3"/>
            <w:vAlign w:val="center"/>
          </w:tcPr>
          <w:p w14:paraId="38DF19B8">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p>
        </w:tc>
        <w:tc>
          <w:tcPr>
            <w:tcW w:w="764" w:type="pct"/>
            <w:vAlign w:val="center"/>
          </w:tcPr>
          <w:p w14:paraId="7C138D07">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网址</w:t>
            </w:r>
          </w:p>
        </w:tc>
        <w:tc>
          <w:tcPr>
            <w:tcW w:w="1505" w:type="pct"/>
            <w:gridSpan w:val="3"/>
            <w:vAlign w:val="center"/>
          </w:tcPr>
          <w:p w14:paraId="15164453">
            <w:pPr>
              <w:pStyle w:val="20"/>
              <w:ind w:left="-28" w:firstLine="55" w:firstLineChars="23"/>
              <w:rPr>
                <w:rFonts w:eastAsia="仿宋" w:cstheme="minorBidi"/>
                <w:bCs/>
                <w:color w:val="000000" w:themeColor="text1"/>
                <w:sz w:val="24"/>
                <w14:textFill>
                  <w14:solidFill>
                    <w14:schemeClr w14:val="tx1"/>
                  </w14:solidFill>
                </w14:textFill>
                <w14:ligatures w14:val="standardContextual"/>
              </w:rPr>
            </w:pPr>
          </w:p>
        </w:tc>
      </w:tr>
      <w:tr w14:paraId="1B188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45" w:type="pct"/>
            <w:vAlign w:val="center"/>
          </w:tcPr>
          <w:p w14:paraId="57DCDC7A">
            <w:pPr>
              <w:pStyle w:val="20"/>
              <w:ind w:left="-28" w:right="2"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法定代表人</w:t>
            </w:r>
          </w:p>
        </w:tc>
        <w:tc>
          <w:tcPr>
            <w:tcW w:w="569" w:type="pct"/>
            <w:vAlign w:val="center"/>
          </w:tcPr>
          <w:p w14:paraId="4570B37A">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姓名</w:t>
            </w:r>
          </w:p>
        </w:tc>
        <w:tc>
          <w:tcPr>
            <w:tcW w:w="561" w:type="pct"/>
            <w:vAlign w:val="center"/>
          </w:tcPr>
          <w:p w14:paraId="0FA22EDB">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p>
        </w:tc>
        <w:tc>
          <w:tcPr>
            <w:tcW w:w="656" w:type="pct"/>
            <w:gridSpan w:val="2"/>
            <w:vAlign w:val="center"/>
          </w:tcPr>
          <w:p w14:paraId="140892C2">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技术职称</w:t>
            </w:r>
          </w:p>
        </w:tc>
        <w:tc>
          <w:tcPr>
            <w:tcW w:w="764" w:type="pct"/>
            <w:vAlign w:val="center"/>
          </w:tcPr>
          <w:p w14:paraId="27F2E0D0">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p>
        </w:tc>
        <w:tc>
          <w:tcPr>
            <w:tcW w:w="362" w:type="pct"/>
            <w:gridSpan w:val="2"/>
            <w:vAlign w:val="center"/>
          </w:tcPr>
          <w:p w14:paraId="4DF008DA">
            <w:pPr>
              <w:pStyle w:val="20"/>
              <w:ind w:left="-28" w:firstLine="55" w:firstLineChars="23"/>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电话</w:t>
            </w:r>
          </w:p>
        </w:tc>
        <w:tc>
          <w:tcPr>
            <w:tcW w:w="1143" w:type="pct"/>
            <w:vAlign w:val="center"/>
          </w:tcPr>
          <w:p w14:paraId="0C9068FE">
            <w:pPr>
              <w:pStyle w:val="20"/>
              <w:ind w:left="-28" w:firstLine="55" w:firstLineChars="23"/>
              <w:rPr>
                <w:rFonts w:eastAsia="仿宋" w:cstheme="minorBidi"/>
                <w:bCs/>
                <w:color w:val="000000" w:themeColor="text1"/>
                <w:sz w:val="24"/>
                <w14:textFill>
                  <w14:solidFill>
                    <w14:schemeClr w14:val="tx1"/>
                  </w14:solidFill>
                </w14:textFill>
                <w14:ligatures w14:val="standardContextual"/>
              </w:rPr>
            </w:pPr>
          </w:p>
        </w:tc>
      </w:tr>
      <w:tr w14:paraId="737DE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45" w:type="pct"/>
            <w:vAlign w:val="center"/>
          </w:tcPr>
          <w:p w14:paraId="028079D5">
            <w:pPr>
              <w:pStyle w:val="20"/>
              <w:ind w:left="-28" w:right="2"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技术负责人</w:t>
            </w:r>
          </w:p>
        </w:tc>
        <w:tc>
          <w:tcPr>
            <w:tcW w:w="569" w:type="pct"/>
            <w:vAlign w:val="center"/>
          </w:tcPr>
          <w:p w14:paraId="2EAF6565">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姓名</w:t>
            </w:r>
          </w:p>
        </w:tc>
        <w:tc>
          <w:tcPr>
            <w:tcW w:w="561" w:type="pct"/>
            <w:vAlign w:val="center"/>
          </w:tcPr>
          <w:p w14:paraId="19D18CCA">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p>
        </w:tc>
        <w:tc>
          <w:tcPr>
            <w:tcW w:w="656" w:type="pct"/>
            <w:gridSpan w:val="2"/>
            <w:vAlign w:val="center"/>
          </w:tcPr>
          <w:p w14:paraId="4AD8726F">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技术职称</w:t>
            </w:r>
          </w:p>
        </w:tc>
        <w:tc>
          <w:tcPr>
            <w:tcW w:w="764" w:type="pct"/>
            <w:vAlign w:val="center"/>
          </w:tcPr>
          <w:p w14:paraId="6CAAF6A5">
            <w:pPr>
              <w:pStyle w:val="20"/>
              <w:ind w:left="-28" w:firstLine="55" w:firstLineChars="23"/>
              <w:jc w:val="center"/>
              <w:rPr>
                <w:rFonts w:eastAsia="仿宋" w:cstheme="minorBidi"/>
                <w:bCs/>
                <w:color w:val="000000" w:themeColor="text1"/>
                <w:sz w:val="24"/>
                <w14:textFill>
                  <w14:solidFill>
                    <w14:schemeClr w14:val="tx1"/>
                  </w14:solidFill>
                </w14:textFill>
                <w14:ligatures w14:val="standardContextual"/>
              </w:rPr>
            </w:pPr>
          </w:p>
        </w:tc>
        <w:tc>
          <w:tcPr>
            <w:tcW w:w="362" w:type="pct"/>
            <w:gridSpan w:val="2"/>
            <w:vAlign w:val="center"/>
          </w:tcPr>
          <w:p w14:paraId="23C945F3">
            <w:pPr>
              <w:pStyle w:val="20"/>
              <w:ind w:left="-28" w:firstLine="55" w:firstLineChars="23"/>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电话</w:t>
            </w:r>
          </w:p>
        </w:tc>
        <w:tc>
          <w:tcPr>
            <w:tcW w:w="1143" w:type="pct"/>
            <w:vAlign w:val="center"/>
          </w:tcPr>
          <w:p w14:paraId="7B8D36D8">
            <w:pPr>
              <w:pStyle w:val="20"/>
              <w:ind w:left="-28" w:firstLine="55" w:firstLineChars="23"/>
              <w:rPr>
                <w:rFonts w:eastAsia="仿宋" w:cstheme="minorBidi"/>
                <w:bCs/>
                <w:color w:val="000000" w:themeColor="text1"/>
                <w:sz w:val="24"/>
                <w14:textFill>
                  <w14:solidFill>
                    <w14:schemeClr w14:val="tx1"/>
                  </w14:solidFill>
                </w14:textFill>
                <w14:ligatures w14:val="standardContextual"/>
              </w:rPr>
            </w:pPr>
          </w:p>
        </w:tc>
      </w:tr>
      <w:tr w14:paraId="197CE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945" w:type="pct"/>
            <w:vAlign w:val="center"/>
          </w:tcPr>
          <w:p w14:paraId="05C08317">
            <w:pPr>
              <w:pStyle w:val="20"/>
              <w:spacing w:before="1"/>
              <w:ind w:left="11" w:right="2"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成立时间</w:t>
            </w:r>
          </w:p>
        </w:tc>
        <w:tc>
          <w:tcPr>
            <w:tcW w:w="1130" w:type="pct"/>
            <w:gridSpan w:val="2"/>
            <w:vAlign w:val="center"/>
          </w:tcPr>
          <w:p w14:paraId="4571B0C5">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c>
          <w:tcPr>
            <w:tcW w:w="2925" w:type="pct"/>
            <w:gridSpan w:val="6"/>
            <w:vAlign w:val="center"/>
          </w:tcPr>
          <w:p w14:paraId="062D78B8">
            <w:pPr>
              <w:pStyle w:val="20"/>
              <w:spacing w:before="1"/>
              <w:ind w:left="11" w:firstLine="55" w:firstLineChars="23"/>
              <w:jc w:val="left"/>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员工总人数：</w:t>
            </w:r>
          </w:p>
        </w:tc>
      </w:tr>
      <w:tr w14:paraId="318E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45" w:type="pct"/>
            <w:vAlign w:val="center"/>
          </w:tcPr>
          <w:p w14:paraId="13CA1E43">
            <w:pPr>
              <w:pStyle w:val="20"/>
              <w:ind w:left="11"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企业资质等级</w:t>
            </w:r>
          </w:p>
        </w:tc>
        <w:tc>
          <w:tcPr>
            <w:tcW w:w="1130" w:type="pct"/>
            <w:gridSpan w:val="2"/>
            <w:vAlign w:val="center"/>
          </w:tcPr>
          <w:p w14:paraId="4BF7B02E">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c>
          <w:tcPr>
            <w:tcW w:w="477" w:type="pct"/>
            <w:vMerge w:val="restart"/>
            <w:vAlign w:val="center"/>
          </w:tcPr>
          <w:p w14:paraId="51DCB47A">
            <w:pPr>
              <w:pStyle w:val="20"/>
              <w:spacing w:line="268" w:lineRule="auto"/>
              <w:ind w:left="249" w:right="237"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其中</w:t>
            </w:r>
          </w:p>
        </w:tc>
        <w:tc>
          <w:tcPr>
            <w:tcW w:w="1218" w:type="pct"/>
            <w:gridSpan w:val="3"/>
            <w:vAlign w:val="center"/>
          </w:tcPr>
          <w:p w14:paraId="1A0B6881">
            <w:pPr>
              <w:pStyle w:val="20"/>
              <w:ind w:left="155" w:firstLine="55" w:firstLineChars="23"/>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本项目负责人</w:t>
            </w:r>
          </w:p>
        </w:tc>
        <w:tc>
          <w:tcPr>
            <w:tcW w:w="1230" w:type="pct"/>
            <w:gridSpan w:val="2"/>
            <w:vAlign w:val="center"/>
          </w:tcPr>
          <w:p w14:paraId="42B4EA57">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r>
      <w:tr w14:paraId="4B09C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45" w:type="pct"/>
            <w:vAlign w:val="center"/>
          </w:tcPr>
          <w:p w14:paraId="2A9EFBA9">
            <w:pPr>
              <w:pStyle w:val="20"/>
              <w:ind w:left="11" w:right="2"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营业执照号</w:t>
            </w:r>
          </w:p>
        </w:tc>
        <w:tc>
          <w:tcPr>
            <w:tcW w:w="1130" w:type="pct"/>
            <w:gridSpan w:val="2"/>
            <w:vAlign w:val="center"/>
          </w:tcPr>
          <w:p w14:paraId="302953C5">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c>
          <w:tcPr>
            <w:tcW w:w="477" w:type="pct"/>
            <w:vMerge w:val="continue"/>
            <w:tcBorders>
              <w:top w:val="nil"/>
            </w:tcBorders>
            <w:vAlign w:val="center"/>
          </w:tcPr>
          <w:p w14:paraId="3C7F6A15">
            <w:pPr>
              <w:ind w:firstLine="55" w:firstLineChars="23"/>
              <w:rPr>
                <w:rFonts w:ascii="宋体" w:hAnsi="宋体" w:eastAsia="仿宋"/>
                <w:bCs/>
                <w:color w:val="000000" w:themeColor="text1"/>
                <w:sz w:val="24"/>
                <w14:textFill>
                  <w14:solidFill>
                    <w14:schemeClr w14:val="tx1"/>
                  </w14:solidFill>
                </w14:textFill>
              </w:rPr>
            </w:pPr>
          </w:p>
        </w:tc>
        <w:tc>
          <w:tcPr>
            <w:tcW w:w="1218" w:type="pct"/>
            <w:gridSpan w:val="3"/>
            <w:vAlign w:val="center"/>
          </w:tcPr>
          <w:p w14:paraId="77CF81DB">
            <w:pPr>
              <w:pStyle w:val="20"/>
              <w:ind w:left="155" w:firstLine="55" w:firstLineChars="23"/>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高级职称人员</w:t>
            </w:r>
          </w:p>
        </w:tc>
        <w:tc>
          <w:tcPr>
            <w:tcW w:w="1230" w:type="pct"/>
            <w:gridSpan w:val="2"/>
            <w:vAlign w:val="center"/>
          </w:tcPr>
          <w:p w14:paraId="6EB5AF0F">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r>
      <w:tr w14:paraId="0F153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945" w:type="pct"/>
            <w:vAlign w:val="center"/>
          </w:tcPr>
          <w:p w14:paraId="1A7587FC">
            <w:pPr>
              <w:pStyle w:val="20"/>
              <w:ind w:left="11" w:right="2"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注册资金</w:t>
            </w:r>
          </w:p>
        </w:tc>
        <w:tc>
          <w:tcPr>
            <w:tcW w:w="1130" w:type="pct"/>
            <w:gridSpan w:val="2"/>
            <w:vAlign w:val="center"/>
          </w:tcPr>
          <w:p w14:paraId="29EE8878">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c>
          <w:tcPr>
            <w:tcW w:w="477" w:type="pct"/>
            <w:vMerge w:val="continue"/>
            <w:tcBorders>
              <w:top w:val="nil"/>
            </w:tcBorders>
            <w:vAlign w:val="center"/>
          </w:tcPr>
          <w:p w14:paraId="3EF626BB">
            <w:pPr>
              <w:ind w:firstLine="55" w:firstLineChars="23"/>
              <w:rPr>
                <w:rFonts w:ascii="宋体" w:hAnsi="宋体" w:eastAsia="仿宋"/>
                <w:bCs/>
                <w:color w:val="000000" w:themeColor="text1"/>
                <w:sz w:val="24"/>
                <w14:textFill>
                  <w14:solidFill>
                    <w14:schemeClr w14:val="tx1"/>
                  </w14:solidFill>
                </w14:textFill>
              </w:rPr>
            </w:pPr>
          </w:p>
        </w:tc>
        <w:tc>
          <w:tcPr>
            <w:tcW w:w="1218" w:type="pct"/>
            <w:gridSpan w:val="3"/>
            <w:vAlign w:val="center"/>
          </w:tcPr>
          <w:p w14:paraId="0BFF6729">
            <w:pPr>
              <w:pStyle w:val="20"/>
              <w:ind w:left="155" w:firstLine="55" w:firstLineChars="23"/>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中级职称人员</w:t>
            </w:r>
          </w:p>
        </w:tc>
        <w:tc>
          <w:tcPr>
            <w:tcW w:w="1230" w:type="pct"/>
            <w:gridSpan w:val="2"/>
            <w:vAlign w:val="center"/>
          </w:tcPr>
          <w:p w14:paraId="60253954">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r>
      <w:tr w14:paraId="0E989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945" w:type="pct"/>
            <w:vAlign w:val="center"/>
          </w:tcPr>
          <w:p w14:paraId="14E4C94A">
            <w:pPr>
              <w:pStyle w:val="20"/>
              <w:ind w:left="11" w:right="2"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开户银行</w:t>
            </w:r>
          </w:p>
        </w:tc>
        <w:tc>
          <w:tcPr>
            <w:tcW w:w="1130" w:type="pct"/>
            <w:gridSpan w:val="2"/>
            <w:vAlign w:val="center"/>
          </w:tcPr>
          <w:p w14:paraId="280ACCD0">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c>
          <w:tcPr>
            <w:tcW w:w="477" w:type="pct"/>
            <w:vMerge w:val="continue"/>
            <w:tcBorders>
              <w:top w:val="nil"/>
            </w:tcBorders>
            <w:vAlign w:val="center"/>
          </w:tcPr>
          <w:p w14:paraId="4160127E">
            <w:pPr>
              <w:ind w:firstLine="55" w:firstLineChars="23"/>
              <w:rPr>
                <w:rFonts w:ascii="宋体" w:hAnsi="宋体" w:eastAsia="仿宋"/>
                <w:bCs/>
                <w:color w:val="000000" w:themeColor="text1"/>
                <w:sz w:val="24"/>
                <w14:textFill>
                  <w14:solidFill>
                    <w14:schemeClr w14:val="tx1"/>
                  </w14:solidFill>
                </w14:textFill>
              </w:rPr>
            </w:pPr>
          </w:p>
        </w:tc>
        <w:tc>
          <w:tcPr>
            <w:tcW w:w="1218" w:type="pct"/>
            <w:gridSpan w:val="3"/>
            <w:vAlign w:val="center"/>
          </w:tcPr>
          <w:p w14:paraId="59148180">
            <w:pPr>
              <w:pStyle w:val="20"/>
              <w:ind w:left="155" w:firstLine="55" w:firstLineChars="23"/>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初级职称人员</w:t>
            </w:r>
          </w:p>
        </w:tc>
        <w:tc>
          <w:tcPr>
            <w:tcW w:w="1230" w:type="pct"/>
            <w:gridSpan w:val="2"/>
            <w:vAlign w:val="center"/>
          </w:tcPr>
          <w:p w14:paraId="02B90244">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r>
      <w:tr w14:paraId="30DBB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45" w:type="pct"/>
            <w:vAlign w:val="center"/>
          </w:tcPr>
          <w:p w14:paraId="6ABBB391">
            <w:pPr>
              <w:pStyle w:val="20"/>
              <w:ind w:left="11"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账号</w:t>
            </w:r>
          </w:p>
        </w:tc>
        <w:tc>
          <w:tcPr>
            <w:tcW w:w="1130" w:type="pct"/>
            <w:gridSpan w:val="2"/>
            <w:vAlign w:val="center"/>
          </w:tcPr>
          <w:p w14:paraId="3DE4C074">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c>
          <w:tcPr>
            <w:tcW w:w="477" w:type="pct"/>
            <w:vMerge w:val="continue"/>
            <w:tcBorders>
              <w:top w:val="nil"/>
            </w:tcBorders>
            <w:vAlign w:val="center"/>
          </w:tcPr>
          <w:p w14:paraId="0BB808DF">
            <w:pPr>
              <w:ind w:firstLine="55" w:firstLineChars="23"/>
              <w:rPr>
                <w:rFonts w:ascii="宋体" w:hAnsi="宋体" w:eastAsia="仿宋"/>
                <w:bCs/>
                <w:color w:val="000000" w:themeColor="text1"/>
                <w:sz w:val="24"/>
                <w14:textFill>
                  <w14:solidFill>
                    <w14:schemeClr w14:val="tx1"/>
                  </w14:solidFill>
                </w14:textFill>
              </w:rPr>
            </w:pPr>
          </w:p>
        </w:tc>
        <w:tc>
          <w:tcPr>
            <w:tcW w:w="1218" w:type="pct"/>
            <w:gridSpan w:val="3"/>
            <w:vAlign w:val="center"/>
          </w:tcPr>
          <w:p w14:paraId="5CE5D924">
            <w:pPr>
              <w:pStyle w:val="20"/>
              <w:ind w:left="155"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职员</w:t>
            </w:r>
          </w:p>
        </w:tc>
        <w:tc>
          <w:tcPr>
            <w:tcW w:w="1230" w:type="pct"/>
            <w:gridSpan w:val="2"/>
            <w:vAlign w:val="center"/>
          </w:tcPr>
          <w:p w14:paraId="78C82260">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r>
      <w:tr w14:paraId="6A5B7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945" w:type="pct"/>
            <w:vAlign w:val="center"/>
          </w:tcPr>
          <w:p w14:paraId="6CE18E31">
            <w:pPr>
              <w:pStyle w:val="20"/>
              <w:spacing w:before="1"/>
              <w:ind w:left="11" w:firstLine="55" w:firstLineChars="23"/>
              <w:jc w:val="center"/>
              <w:rPr>
                <w:rFonts w:eastAsia="仿宋" w:cstheme="minorBidi"/>
                <w:bCs/>
                <w:color w:val="000000" w:themeColor="text1"/>
                <w:sz w:val="24"/>
                <w14:textFill>
                  <w14:solidFill>
                    <w14:schemeClr w14:val="tx1"/>
                  </w14:solidFill>
                </w14:textFill>
                <w14:ligatures w14:val="standardContextual"/>
              </w:rPr>
            </w:pPr>
            <w:r>
              <w:rPr>
                <w:rFonts w:hint="eastAsia" w:eastAsia="仿宋" w:cstheme="minorBidi"/>
                <w:bCs/>
                <w:color w:val="000000" w:themeColor="text1"/>
                <w:sz w:val="24"/>
                <w14:textFill>
                  <w14:solidFill>
                    <w14:schemeClr w14:val="tx1"/>
                  </w14:solidFill>
                </w14:textFill>
                <w14:ligatures w14:val="standardContextual"/>
              </w:rPr>
              <w:t>备注</w:t>
            </w:r>
          </w:p>
        </w:tc>
        <w:tc>
          <w:tcPr>
            <w:tcW w:w="4055" w:type="pct"/>
            <w:gridSpan w:val="8"/>
            <w:vAlign w:val="center"/>
          </w:tcPr>
          <w:p w14:paraId="2418E6D0">
            <w:pPr>
              <w:pStyle w:val="20"/>
              <w:ind w:firstLine="55" w:firstLineChars="23"/>
              <w:rPr>
                <w:rFonts w:eastAsia="仿宋" w:cstheme="minorBidi"/>
                <w:bCs/>
                <w:color w:val="000000" w:themeColor="text1"/>
                <w:sz w:val="24"/>
                <w14:textFill>
                  <w14:solidFill>
                    <w14:schemeClr w14:val="tx1"/>
                  </w14:solidFill>
                </w14:textFill>
                <w14:ligatures w14:val="standardContextual"/>
              </w:rPr>
            </w:pPr>
          </w:p>
        </w:tc>
      </w:tr>
    </w:tbl>
    <w:p w14:paraId="1EC8716C">
      <w:pPr>
        <w:rPr>
          <w:rFonts w:ascii="宋体" w:hAnsi="宋体" w:eastAsia="仿宋"/>
          <w:b/>
          <w:bCs/>
          <w:color w:val="000000" w:themeColor="text1"/>
          <w:sz w:val="24"/>
          <w14:textFill>
            <w14:solidFill>
              <w14:schemeClr w14:val="tx1"/>
            </w14:solidFill>
          </w14:textFill>
        </w:rPr>
      </w:pPr>
    </w:p>
    <w:p w14:paraId="3C87A6CE">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6B7DF718">
      <w:pPr>
        <w:pStyle w:val="3"/>
        <w:ind w:firstLine="562"/>
      </w:pPr>
      <w:r>
        <w:rPr>
          <w:rFonts w:hint="eastAsia"/>
        </w:rPr>
        <w:t>2.2 拟投入本项目的招标代理团队及人员简介及情况介绍</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8"/>
        <w:gridCol w:w="210"/>
        <w:gridCol w:w="1308"/>
        <w:gridCol w:w="1212"/>
        <w:gridCol w:w="306"/>
        <w:gridCol w:w="1518"/>
        <w:gridCol w:w="156"/>
        <w:gridCol w:w="1362"/>
        <w:gridCol w:w="1698"/>
      </w:tblGrid>
      <w:tr w14:paraId="01DFB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518" w:type="dxa"/>
          </w:tcPr>
          <w:p w14:paraId="13AAFD33">
            <w:pPr>
              <w:pStyle w:val="20"/>
              <w:spacing w:before="133"/>
              <w:ind w:left="12" w:right="5"/>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总人数</w:t>
            </w:r>
          </w:p>
        </w:tc>
        <w:tc>
          <w:tcPr>
            <w:tcW w:w="1518" w:type="dxa"/>
            <w:gridSpan w:val="2"/>
          </w:tcPr>
          <w:p w14:paraId="21C0577C">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518" w:type="dxa"/>
            <w:gridSpan w:val="2"/>
          </w:tcPr>
          <w:p w14:paraId="6AE8EE3C">
            <w:pPr>
              <w:pStyle w:val="20"/>
              <w:spacing w:before="133"/>
              <w:ind w:left="209"/>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项目负责人</w:t>
            </w:r>
          </w:p>
        </w:tc>
        <w:tc>
          <w:tcPr>
            <w:tcW w:w="1518" w:type="dxa"/>
          </w:tcPr>
          <w:p w14:paraId="05086ADD">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518" w:type="dxa"/>
            <w:gridSpan w:val="2"/>
          </w:tcPr>
          <w:p w14:paraId="2EF84587">
            <w:pPr>
              <w:pStyle w:val="20"/>
              <w:spacing w:before="133"/>
              <w:ind w:left="209"/>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职称</w:t>
            </w:r>
          </w:p>
        </w:tc>
        <w:tc>
          <w:tcPr>
            <w:tcW w:w="1698" w:type="dxa"/>
          </w:tcPr>
          <w:p w14:paraId="05900A16">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18095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518" w:type="dxa"/>
          </w:tcPr>
          <w:p w14:paraId="7D8CAFE1">
            <w:pPr>
              <w:pStyle w:val="20"/>
              <w:spacing w:before="134"/>
              <w:ind w:left="12"/>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专业人员</w:t>
            </w:r>
          </w:p>
        </w:tc>
        <w:tc>
          <w:tcPr>
            <w:tcW w:w="1518" w:type="dxa"/>
            <w:gridSpan w:val="2"/>
          </w:tcPr>
          <w:p w14:paraId="19444DCB">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518" w:type="dxa"/>
            <w:gridSpan w:val="2"/>
          </w:tcPr>
          <w:p w14:paraId="6C69234F">
            <w:pPr>
              <w:pStyle w:val="20"/>
              <w:spacing w:before="134"/>
              <w:ind w:left="319"/>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管理人员</w:t>
            </w:r>
          </w:p>
        </w:tc>
        <w:tc>
          <w:tcPr>
            <w:tcW w:w="1518" w:type="dxa"/>
          </w:tcPr>
          <w:p w14:paraId="187C813E">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518" w:type="dxa"/>
            <w:gridSpan w:val="2"/>
          </w:tcPr>
          <w:p w14:paraId="7B76DE98">
            <w:pPr>
              <w:pStyle w:val="20"/>
              <w:spacing w:before="134"/>
              <w:ind w:left="10"/>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其他</w:t>
            </w:r>
          </w:p>
        </w:tc>
        <w:tc>
          <w:tcPr>
            <w:tcW w:w="1698" w:type="dxa"/>
          </w:tcPr>
          <w:p w14:paraId="1A465A78">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392F4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288" w:type="dxa"/>
            <w:gridSpan w:val="9"/>
          </w:tcPr>
          <w:p w14:paraId="39EC4C13">
            <w:pPr>
              <w:pStyle w:val="20"/>
              <w:spacing w:before="55"/>
              <w:ind w:left="108"/>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单位领导情况</w:t>
            </w:r>
          </w:p>
        </w:tc>
      </w:tr>
      <w:tr w14:paraId="649E9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728" w:type="dxa"/>
            <w:gridSpan w:val="2"/>
          </w:tcPr>
          <w:p w14:paraId="66FDDFEB">
            <w:pPr>
              <w:pStyle w:val="20"/>
              <w:spacing w:before="251"/>
              <w:ind w:left="11"/>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姓名</w:t>
            </w:r>
          </w:p>
        </w:tc>
        <w:tc>
          <w:tcPr>
            <w:tcW w:w="1308" w:type="dxa"/>
          </w:tcPr>
          <w:p w14:paraId="34842166">
            <w:pPr>
              <w:pStyle w:val="20"/>
              <w:spacing w:before="251"/>
              <w:ind w:left="8"/>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职称</w:t>
            </w:r>
          </w:p>
        </w:tc>
        <w:tc>
          <w:tcPr>
            <w:tcW w:w="1212" w:type="dxa"/>
          </w:tcPr>
          <w:p w14:paraId="4C021687">
            <w:pPr>
              <w:pStyle w:val="20"/>
              <w:spacing w:before="251"/>
              <w:ind w:left="11"/>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现职务</w:t>
            </w:r>
          </w:p>
        </w:tc>
        <w:tc>
          <w:tcPr>
            <w:tcW w:w="1980" w:type="dxa"/>
            <w:gridSpan w:val="3"/>
          </w:tcPr>
          <w:p w14:paraId="07271608">
            <w:pPr>
              <w:pStyle w:val="20"/>
              <w:spacing w:before="251"/>
              <w:ind w:left="329"/>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完成类似项目</w:t>
            </w:r>
          </w:p>
        </w:tc>
        <w:tc>
          <w:tcPr>
            <w:tcW w:w="3060" w:type="dxa"/>
            <w:gridSpan w:val="2"/>
          </w:tcPr>
          <w:p w14:paraId="0184F459">
            <w:pPr>
              <w:pStyle w:val="20"/>
              <w:spacing w:before="251"/>
              <w:ind w:left="869"/>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从事工作年限</w:t>
            </w:r>
          </w:p>
        </w:tc>
      </w:tr>
      <w:tr w14:paraId="497CB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728" w:type="dxa"/>
            <w:gridSpan w:val="2"/>
          </w:tcPr>
          <w:p w14:paraId="337C5288">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308" w:type="dxa"/>
          </w:tcPr>
          <w:p w14:paraId="4377082B">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212" w:type="dxa"/>
          </w:tcPr>
          <w:p w14:paraId="48812E84">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980" w:type="dxa"/>
            <w:gridSpan w:val="3"/>
          </w:tcPr>
          <w:p w14:paraId="1EE25014">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3060" w:type="dxa"/>
            <w:gridSpan w:val="2"/>
          </w:tcPr>
          <w:p w14:paraId="6B26C5BC">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3276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728" w:type="dxa"/>
            <w:gridSpan w:val="2"/>
          </w:tcPr>
          <w:p w14:paraId="51CC45D4">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308" w:type="dxa"/>
          </w:tcPr>
          <w:p w14:paraId="249FC12A">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212" w:type="dxa"/>
          </w:tcPr>
          <w:p w14:paraId="1FC2385C">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980" w:type="dxa"/>
            <w:gridSpan w:val="3"/>
          </w:tcPr>
          <w:p w14:paraId="78F8DB90">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3060" w:type="dxa"/>
            <w:gridSpan w:val="2"/>
          </w:tcPr>
          <w:p w14:paraId="7E0C21B7">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77FCE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728" w:type="dxa"/>
            <w:gridSpan w:val="2"/>
          </w:tcPr>
          <w:p w14:paraId="0079D617">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308" w:type="dxa"/>
          </w:tcPr>
          <w:p w14:paraId="5D16D212">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212" w:type="dxa"/>
          </w:tcPr>
          <w:p w14:paraId="4F85F2B4">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980" w:type="dxa"/>
            <w:gridSpan w:val="3"/>
          </w:tcPr>
          <w:p w14:paraId="60BCB37D">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3060" w:type="dxa"/>
            <w:gridSpan w:val="2"/>
          </w:tcPr>
          <w:p w14:paraId="423EA2EB">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79C0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288" w:type="dxa"/>
            <w:gridSpan w:val="9"/>
          </w:tcPr>
          <w:p w14:paraId="3C934B65">
            <w:pPr>
              <w:pStyle w:val="20"/>
              <w:spacing w:before="54"/>
              <w:ind w:left="108"/>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拟派本项目负责人情况</w:t>
            </w:r>
          </w:p>
        </w:tc>
      </w:tr>
      <w:tr w14:paraId="550BF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728" w:type="dxa"/>
            <w:gridSpan w:val="2"/>
          </w:tcPr>
          <w:p w14:paraId="5C403E87">
            <w:pPr>
              <w:pStyle w:val="20"/>
              <w:spacing w:before="135"/>
              <w:ind w:left="11"/>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姓名</w:t>
            </w:r>
          </w:p>
        </w:tc>
        <w:tc>
          <w:tcPr>
            <w:tcW w:w="1308" w:type="dxa"/>
          </w:tcPr>
          <w:p w14:paraId="27ABB2DC">
            <w:pPr>
              <w:pStyle w:val="20"/>
              <w:spacing w:before="135"/>
              <w:ind w:left="8"/>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职称</w:t>
            </w:r>
          </w:p>
        </w:tc>
        <w:tc>
          <w:tcPr>
            <w:tcW w:w="1212" w:type="dxa"/>
          </w:tcPr>
          <w:p w14:paraId="00F97865">
            <w:pPr>
              <w:pStyle w:val="20"/>
              <w:spacing w:before="135"/>
              <w:ind w:left="11"/>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现职务</w:t>
            </w:r>
          </w:p>
        </w:tc>
        <w:tc>
          <w:tcPr>
            <w:tcW w:w="1980" w:type="dxa"/>
            <w:gridSpan w:val="3"/>
          </w:tcPr>
          <w:p w14:paraId="7D8C5F54">
            <w:pPr>
              <w:pStyle w:val="20"/>
              <w:spacing w:before="135"/>
              <w:ind w:left="329"/>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完成类似项目</w:t>
            </w:r>
          </w:p>
        </w:tc>
        <w:tc>
          <w:tcPr>
            <w:tcW w:w="3060" w:type="dxa"/>
            <w:gridSpan w:val="2"/>
          </w:tcPr>
          <w:p w14:paraId="0D3212E7">
            <w:pPr>
              <w:pStyle w:val="20"/>
              <w:spacing w:before="135"/>
              <w:ind w:left="869"/>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从事工作年限</w:t>
            </w:r>
          </w:p>
        </w:tc>
      </w:tr>
      <w:tr w14:paraId="14E54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728" w:type="dxa"/>
            <w:gridSpan w:val="2"/>
          </w:tcPr>
          <w:p w14:paraId="46229E60">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308" w:type="dxa"/>
          </w:tcPr>
          <w:p w14:paraId="3922ACE8">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212" w:type="dxa"/>
          </w:tcPr>
          <w:p w14:paraId="02500691">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980" w:type="dxa"/>
            <w:gridSpan w:val="3"/>
          </w:tcPr>
          <w:p w14:paraId="5318AAB0">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3060" w:type="dxa"/>
            <w:gridSpan w:val="2"/>
          </w:tcPr>
          <w:p w14:paraId="7458FCC0">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17E9F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728" w:type="dxa"/>
            <w:gridSpan w:val="2"/>
          </w:tcPr>
          <w:p w14:paraId="3B130025">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308" w:type="dxa"/>
          </w:tcPr>
          <w:p w14:paraId="62F96D4C">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212" w:type="dxa"/>
          </w:tcPr>
          <w:p w14:paraId="15E2DEFE">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980" w:type="dxa"/>
            <w:gridSpan w:val="3"/>
          </w:tcPr>
          <w:p w14:paraId="3B917CB5">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3060" w:type="dxa"/>
            <w:gridSpan w:val="2"/>
          </w:tcPr>
          <w:p w14:paraId="5769FBB4">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2D4D2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728" w:type="dxa"/>
            <w:gridSpan w:val="2"/>
          </w:tcPr>
          <w:p w14:paraId="064D8FA7">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308" w:type="dxa"/>
          </w:tcPr>
          <w:p w14:paraId="688CBCCD">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212" w:type="dxa"/>
          </w:tcPr>
          <w:p w14:paraId="7A33FB15">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980" w:type="dxa"/>
            <w:gridSpan w:val="3"/>
          </w:tcPr>
          <w:p w14:paraId="37344313">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3060" w:type="dxa"/>
            <w:gridSpan w:val="2"/>
          </w:tcPr>
          <w:p w14:paraId="6AFDFFD9">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6DF0F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728" w:type="dxa"/>
            <w:gridSpan w:val="2"/>
          </w:tcPr>
          <w:p w14:paraId="02EEDFA4">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308" w:type="dxa"/>
          </w:tcPr>
          <w:p w14:paraId="2106414A">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212" w:type="dxa"/>
          </w:tcPr>
          <w:p w14:paraId="08037BE5">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980" w:type="dxa"/>
            <w:gridSpan w:val="3"/>
          </w:tcPr>
          <w:p w14:paraId="08B4B9AA">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3060" w:type="dxa"/>
            <w:gridSpan w:val="2"/>
          </w:tcPr>
          <w:p w14:paraId="18436E73">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55481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9288" w:type="dxa"/>
            <w:gridSpan w:val="9"/>
          </w:tcPr>
          <w:p w14:paraId="4FDC6629">
            <w:pPr>
              <w:pStyle w:val="20"/>
              <w:spacing w:before="53"/>
              <w:ind w:left="108"/>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计划用于本项目团队主要成员情况</w:t>
            </w:r>
          </w:p>
        </w:tc>
      </w:tr>
      <w:tr w14:paraId="1FE0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728" w:type="dxa"/>
            <w:gridSpan w:val="2"/>
          </w:tcPr>
          <w:p w14:paraId="49C6C6D4">
            <w:pPr>
              <w:pStyle w:val="20"/>
              <w:spacing w:before="194"/>
              <w:ind w:left="11"/>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姓名</w:t>
            </w:r>
          </w:p>
        </w:tc>
        <w:tc>
          <w:tcPr>
            <w:tcW w:w="1308" w:type="dxa"/>
          </w:tcPr>
          <w:p w14:paraId="69C6904D">
            <w:pPr>
              <w:pStyle w:val="20"/>
              <w:spacing w:before="194"/>
              <w:ind w:left="8"/>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职称</w:t>
            </w:r>
          </w:p>
        </w:tc>
        <w:tc>
          <w:tcPr>
            <w:tcW w:w="1212" w:type="dxa"/>
          </w:tcPr>
          <w:p w14:paraId="019AB949">
            <w:pPr>
              <w:pStyle w:val="20"/>
              <w:spacing w:before="194"/>
              <w:ind w:left="11"/>
              <w:jc w:val="center"/>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现职务</w:t>
            </w:r>
          </w:p>
        </w:tc>
        <w:tc>
          <w:tcPr>
            <w:tcW w:w="1980" w:type="dxa"/>
            <w:gridSpan w:val="3"/>
          </w:tcPr>
          <w:p w14:paraId="27C2DACC">
            <w:pPr>
              <w:pStyle w:val="20"/>
              <w:spacing w:before="194"/>
              <w:ind w:left="329"/>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从事工作年限</w:t>
            </w:r>
          </w:p>
        </w:tc>
        <w:tc>
          <w:tcPr>
            <w:tcW w:w="3060" w:type="dxa"/>
            <w:gridSpan w:val="2"/>
          </w:tcPr>
          <w:p w14:paraId="79507D34">
            <w:pPr>
              <w:pStyle w:val="20"/>
              <w:spacing w:before="194"/>
              <w:ind w:left="319"/>
              <w:rPr>
                <w:rFonts w:ascii="仿宋" w:hAnsi="仿宋" w:eastAsia="仿宋" w:cstheme="minorBidi"/>
                <w:bCs/>
                <w:color w:val="000000" w:themeColor="text1"/>
                <w:sz w:val="24"/>
                <w14:textFill>
                  <w14:solidFill>
                    <w14:schemeClr w14:val="tx1"/>
                  </w14:solidFill>
                </w14:textFill>
                <w14:ligatures w14:val="standardContextual"/>
              </w:rPr>
            </w:pPr>
            <w:r>
              <w:rPr>
                <w:rFonts w:hint="eastAsia" w:ascii="仿宋" w:hAnsi="仿宋" w:eastAsia="仿宋" w:cstheme="minorBidi"/>
                <w:bCs/>
                <w:color w:val="000000" w:themeColor="text1"/>
                <w:sz w:val="24"/>
                <w14:textFill>
                  <w14:solidFill>
                    <w14:schemeClr w14:val="tx1"/>
                  </w14:solidFill>
                </w14:textFill>
                <w14:ligatures w14:val="standardContextual"/>
              </w:rPr>
              <w:t>本次项目承担的工作范围</w:t>
            </w:r>
          </w:p>
        </w:tc>
      </w:tr>
      <w:tr w14:paraId="2A938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728" w:type="dxa"/>
            <w:gridSpan w:val="2"/>
          </w:tcPr>
          <w:p w14:paraId="759071B4">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308" w:type="dxa"/>
          </w:tcPr>
          <w:p w14:paraId="41670EC3">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212" w:type="dxa"/>
          </w:tcPr>
          <w:p w14:paraId="29AE18CC">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980" w:type="dxa"/>
            <w:gridSpan w:val="3"/>
          </w:tcPr>
          <w:p w14:paraId="16FA084D">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3060" w:type="dxa"/>
            <w:gridSpan w:val="2"/>
          </w:tcPr>
          <w:p w14:paraId="111D42AC">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44DCC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728" w:type="dxa"/>
            <w:gridSpan w:val="2"/>
          </w:tcPr>
          <w:p w14:paraId="796F2C86">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308" w:type="dxa"/>
          </w:tcPr>
          <w:p w14:paraId="390BFDED">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212" w:type="dxa"/>
          </w:tcPr>
          <w:p w14:paraId="1C1940A5">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980" w:type="dxa"/>
            <w:gridSpan w:val="3"/>
          </w:tcPr>
          <w:p w14:paraId="0FD1C1BA">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3060" w:type="dxa"/>
            <w:gridSpan w:val="2"/>
          </w:tcPr>
          <w:p w14:paraId="7D01B07E">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54C55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728" w:type="dxa"/>
            <w:gridSpan w:val="2"/>
          </w:tcPr>
          <w:p w14:paraId="65BB1DA3">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308" w:type="dxa"/>
          </w:tcPr>
          <w:p w14:paraId="566CED0D">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212" w:type="dxa"/>
          </w:tcPr>
          <w:p w14:paraId="2BCEE8B6">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980" w:type="dxa"/>
            <w:gridSpan w:val="3"/>
          </w:tcPr>
          <w:p w14:paraId="3BC2518E">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3060" w:type="dxa"/>
            <w:gridSpan w:val="2"/>
          </w:tcPr>
          <w:p w14:paraId="28BF7A59">
            <w:pPr>
              <w:pStyle w:val="20"/>
              <w:rPr>
                <w:rFonts w:ascii="仿宋" w:hAnsi="仿宋" w:eastAsia="仿宋" w:cstheme="minorBidi"/>
                <w:bCs/>
                <w:color w:val="000000" w:themeColor="text1"/>
                <w:sz w:val="24"/>
                <w14:textFill>
                  <w14:solidFill>
                    <w14:schemeClr w14:val="tx1"/>
                  </w14:solidFill>
                </w14:textFill>
                <w14:ligatures w14:val="standardContextual"/>
              </w:rPr>
            </w:pPr>
          </w:p>
        </w:tc>
      </w:tr>
      <w:tr w14:paraId="65B17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728" w:type="dxa"/>
            <w:gridSpan w:val="2"/>
          </w:tcPr>
          <w:p w14:paraId="32FDFEC2">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308" w:type="dxa"/>
          </w:tcPr>
          <w:p w14:paraId="55233563">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212" w:type="dxa"/>
          </w:tcPr>
          <w:p w14:paraId="42C3F9CC">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1980" w:type="dxa"/>
            <w:gridSpan w:val="3"/>
          </w:tcPr>
          <w:p w14:paraId="7352D0FC">
            <w:pPr>
              <w:pStyle w:val="20"/>
              <w:rPr>
                <w:rFonts w:ascii="仿宋" w:hAnsi="仿宋" w:eastAsia="仿宋" w:cstheme="minorBidi"/>
                <w:bCs/>
                <w:color w:val="000000" w:themeColor="text1"/>
                <w:sz w:val="24"/>
                <w14:textFill>
                  <w14:solidFill>
                    <w14:schemeClr w14:val="tx1"/>
                  </w14:solidFill>
                </w14:textFill>
                <w14:ligatures w14:val="standardContextual"/>
              </w:rPr>
            </w:pPr>
          </w:p>
        </w:tc>
        <w:tc>
          <w:tcPr>
            <w:tcW w:w="3060" w:type="dxa"/>
            <w:gridSpan w:val="2"/>
          </w:tcPr>
          <w:p w14:paraId="4B28577F">
            <w:pPr>
              <w:pStyle w:val="20"/>
              <w:rPr>
                <w:rFonts w:ascii="仿宋" w:hAnsi="仿宋" w:eastAsia="仿宋" w:cstheme="minorBidi"/>
                <w:bCs/>
                <w:color w:val="000000" w:themeColor="text1"/>
                <w:sz w:val="24"/>
                <w14:textFill>
                  <w14:solidFill>
                    <w14:schemeClr w14:val="tx1"/>
                  </w14:solidFill>
                </w14:textFill>
                <w14:ligatures w14:val="standardContextual"/>
              </w:rPr>
            </w:pPr>
          </w:p>
        </w:tc>
      </w:tr>
    </w:tbl>
    <w:p w14:paraId="2AC2CAFD">
      <w:pPr>
        <w:rPr>
          <w:rFonts w:ascii="宋体" w:hAnsi="宋体" w:eastAsia="仿宋"/>
          <w:b/>
          <w:bCs/>
          <w:color w:val="000000" w:themeColor="text1"/>
          <w:sz w:val="24"/>
          <w14:textFill>
            <w14:solidFill>
              <w14:schemeClr w14:val="tx1"/>
            </w14:solidFill>
          </w14:textFill>
        </w:rPr>
      </w:pPr>
    </w:p>
    <w:p w14:paraId="40D268C6">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393FD54F">
      <w:pPr>
        <w:pStyle w:val="3"/>
        <w:ind w:firstLine="562"/>
      </w:pPr>
      <w:r>
        <w:rPr>
          <w:rFonts w:hint="eastAsia"/>
        </w:rPr>
        <w:t>2.3 服务方案、服务措施</w:t>
      </w:r>
    </w:p>
    <w:p w14:paraId="60E71AFA">
      <w:pPr>
        <w:rPr>
          <w:rFonts w:ascii="宋体" w:hAnsi="宋体" w:eastAsia="仿宋"/>
          <w:b/>
          <w:bCs/>
          <w:color w:val="000000" w:themeColor="text1"/>
          <w:sz w:val="24"/>
          <w14:textFill>
            <w14:solidFill>
              <w14:schemeClr w14:val="tx1"/>
            </w14:solidFill>
          </w14:textFill>
        </w:rPr>
      </w:pPr>
    </w:p>
    <w:p w14:paraId="1D02DC83">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44D7DBE3">
      <w:pPr>
        <w:pStyle w:val="3"/>
        <w:ind w:firstLine="562"/>
      </w:pPr>
      <w:r>
        <w:rPr>
          <w:rFonts w:hint="eastAsia"/>
        </w:rPr>
        <w:t>2.4 投标人认为有必要提供的其他声明及文件</w:t>
      </w:r>
    </w:p>
    <w:p w14:paraId="3A009267">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31ABD7EC">
      <w:pPr>
        <w:pStyle w:val="3"/>
        <w:ind w:firstLine="562"/>
      </w:pPr>
      <w:r>
        <w:rPr>
          <w:rFonts w:hint="eastAsia"/>
        </w:rPr>
        <w:t>3</w:t>
      </w:r>
      <w:r>
        <w:t>.1</w:t>
      </w:r>
      <w:r>
        <w:rPr>
          <w:rFonts w:hint="eastAsia"/>
        </w:rPr>
        <w:t>资格证明文件</w:t>
      </w:r>
    </w:p>
    <w:p w14:paraId="022C7ED6">
      <w:pPr>
        <w:spacing w:after="0" w:line="560" w:lineRule="exact"/>
        <w:ind w:firstLine="546" w:firstLineChars="195"/>
        <w:rPr>
          <w:rFonts w:ascii="仿宋" w:hAnsi="仿宋" w:eastAsia="仿宋"/>
          <w:bCs/>
          <w:color w:val="000000" w:themeColor="text1"/>
          <w:sz w:val="28"/>
          <w:szCs w:val="28"/>
          <w14:textFill>
            <w14:solidFill>
              <w14:schemeClr w14:val="tx1"/>
            </w14:solidFill>
          </w14:textFill>
        </w:rPr>
      </w:pPr>
      <w:bookmarkStart w:id="209" w:name="_Hlk215404221"/>
      <w:r>
        <w:rPr>
          <w:rFonts w:hint="eastAsia" w:ascii="仿宋" w:hAnsi="仿宋" w:eastAsia="仿宋"/>
          <w:bCs/>
          <w:color w:val="000000" w:themeColor="text1"/>
          <w:sz w:val="28"/>
          <w:szCs w:val="28"/>
          <w14:textFill>
            <w14:solidFill>
              <w14:schemeClr w14:val="tx1"/>
            </w14:solidFill>
          </w14:textFill>
        </w:rPr>
        <w:t>3.1.1有效的营业执照或事业单位法人证书或执业许可证（复印件加盖公章）</w:t>
      </w:r>
    </w:p>
    <w:p w14:paraId="41B43176">
      <w:pPr>
        <w:spacing w:after="0" w:line="560" w:lineRule="exact"/>
        <w:ind w:firstLine="546" w:firstLineChars="195"/>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3.1.2企业年金法人受托管理资质</w:t>
      </w:r>
    </w:p>
    <w:p w14:paraId="484027A8">
      <w:pPr>
        <w:spacing w:after="0" w:line="560" w:lineRule="exact"/>
        <w:ind w:firstLine="546" w:firstLineChars="195"/>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3.1.3法定代表人身份证明（法定代表</w:t>
      </w:r>
      <w:r>
        <w:rPr>
          <w:rFonts w:ascii="仿宋" w:hAnsi="仿宋" w:eastAsia="仿宋"/>
          <w:bCs/>
          <w:color w:val="000000" w:themeColor="text1"/>
          <w:sz w:val="28"/>
          <w:szCs w:val="28"/>
          <w14:textFill>
            <w14:solidFill>
              <w14:schemeClr w14:val="tx1"/>
            </w14:solidFill>
          </w14:textFill>
        </w:rPr>
        <w:t>人</w:t>
      </w:r>
      <w:r>
        <w:rPr>
          <w:rFonts w:hint="eastAsia" w:ascii="仿宋" w:hAnsi="仿宋" w:eastAsia="仿宋"/>
          <w:bCs/>
          <w:color w:val="000000" w:themeColor="text1"/>
          <w:sz w:val="28"/>
          <w:szCs w:val="28"/>
          <w14:textFill>
            <w14:solidFill>
              <w14:schemeClr w14:val="tx1"/>
            </w14:solidFill>
          </w14:textFill>
        </w:rPr>
        <w:t>投标时填写此表）</w:t>
      </w:r>
    </w:p>
    <w:p w14:paraId="603E219C">
      <w:pPr>
        <w:spacing w:after="0" w:line="560" w:lineRule="exact"/>
        <w:ind w:firstLine="546" w:firstLineChars="195"/>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3.1.4法定代表人授权书原件（被授权人投标时填写）</w:t>
      </w:r>
    </w:p>
    <w:p w14:paraId="4A9C45BF">
      <w:pPr>
        <w:spacing w:after="0" w:line="560" w:lineRule="exact"/>
        <w:ind w:firstLine="546" w:firstLineChars="195"/>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3.1.5具有良好的商业信誉和健全的财务会计制度的</w:t>
      </w:r>
    </w:p>
    <w:p w14:paraId="6B75AE36">
      <w:pPr>
        <w:spacing w:after="0" w:line="560" w:lineRule="exact"/>
        <w:ind w:firstLine="546" w:firstLineChars="195"/>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3.1.6具有符合要求的营业场所、安全防范设施和与企业年金基金受托管理业务有关的其他设施</w:t>
      </w:r>
    </w:p>
    <w:p w14:paraId="682C95B0">
      <w:pPr>
        <w:spacing w:after="0" w:line="560" w:lineRule="exact"/>
        <w:ind w:firstLine="546" w:firstLineChars="195"/>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3.1.7具有履行合同所必需的设备和专业技术能力的</w:t>
      </w:r>
    </w:p>
    <w:p w14:paraId="117770F5">
      <w:pPr>
        <w:pStyle w:val="6"/>
        <w:spacing w:line="560" w:lineRule="exact"/>
        <w:ind w:firstLine="546" w:firstLineChars="195"/>
        <w:rPr>
          <w:rFonts w:ascii="仿宋" w:hAnsi="仿宋"/>
          <w:bCs/>
          <w:color w:val="000000" w:themeColor="text1"/>
          <w:sz w:val="28"/>
          <w:szCs w:val="28"/>
          <w14:textFill>
            <w14:solidFill>
              <w14:schemeClr w14:val="tx1"/>
            </w14:solidFill>
          </w14:textFill>
        </w:rPr>
      </w:pPr>
      <w:r>
        <w:rPr>
          <w:rFonts w:hint="eastAsia" w:ascii="仿宋" w:hAnsi="仿宋"/>
          <w:bCs/>
          <w:color w:val="000000" w:themeColor="text1"/>
          <w:sz w:val="28"/>
          <w:szCs w:val="28"/>
          <w14:textFill>
            <w14:solidFill>
              <w14:schemeClr w14:val="tx1"/>
            </w14:solidFill>
          </w14:textFill>
        </w:rPr>
        <w:t>3.1.8有依法缴纳税收和社会保障资金良好记录的</w:t>
      </w:r>
    </w:p>
    <w:p w14:paraId="2E352FB0">
      <w:pPr>
        <w:pStyle w:val="6"/>
        <w:spacing w:line="560" w:lineRule="exact"/>
        <w:ind w:firstLine="546" w:firstLineChars="195"/>
        <w:rPr>
          <w:rFonts w:ascii="宋体" w:hAnsi="宋体"/>
          <w:b/>
          <w:bCs/>
          <w:color w:val="000000" w:themeColor="text1"/>
          <w14:textFill>
            <w14:solidFill>
              <w14:schemeClr w14:val="tx1"/>
            </w14:solidFill>
          </w14:textFill>
        </w:rPr>
      </w:pPr>
      <w:r>
        <w:rPr>
          <w:rFonts w:hint="eastAsia" w:ascii="仿宋" w:hAnsi="仿宋"/>
          <w:bCs/>
          <w:color w:val="000000" w:themeColor="text1"/>
          <w:sz w:val="28"/>
          <w:szCs w:val="28"/>
          <w14:textFill>
            <w14:solidFill>
              <w14:schemeClr w14:val="tx1"/>
            </w14:solidFill>
          </w14:textFill>
        </w:rPr>
        <w:t>3.1.9参加采购活动前三年内，在经营活动中没有重大违法记录的</w:t>
      </w:r>
    </w:p>
    <w:bookmarkEnd w:id="209"/>
    <w:p w14:paraId="7BAD2176">
      <w:pPr>
        <w:pStyle w:val="16"/>
        <w:ind w:left="696"/>
        <w:rPr>
          <w:rFonts w:ascii="宋体" w:hAnsi="宋体" w:eastAsia="仿宋"/>
          <w:b/>
          <w:bCs/>
          <w:color w:val="000000" w:themeColor="text1"/>
          <w:sz w:val="24"/>
          <w14:textFill>
            <w14:solidFill>
              <w14:schemeClr w14:val="tx1"/>
            </w14:solidFill>
          </w14:textFill>
        </w:rPr>
      </w:pPr>
    </w:p>
    <w:p w14:paraId="0FF66E13">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01C5348A">
      <w:pPr>
        <w:pStyle w:val="4"/>
        <w:ind w:firstLine="560"/>
      </w:pPr>
      <w:r>
        <w:rPr>
          <w:rFonts w:hint="eastAsia"/>
        </w:rPr>
        <w:t>3.1.1有效的营业执照或事业单位法人证书</w:t>
      </w:r>
    </w:p>
    <w:p w14:paraId="0BEA36BB">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43FB970F">
      <w:pPr>
        <w:pStyle w:val="4"/>
        <w:ind w:firstLine="560"/>
        <w:rPr>
          <w:rFonts w:ascii="仿宋" w:hAnsi="仿宋"/>
          <w:szCs w:val="28"/>
        </w:rPr>
      </w:pPr>
      <w:r>
        <w:rPr>
          <w:rFonts w:hint="eastAsia" w:ascii="仿宋" w:hAnsi="仿宋" w:cstheme="minorBidi"/>
          <w:szCs w:val="28"/>
        </w:rPr>
        <w:t>3.1.2</w:t>
      </w:r>
      <w:r>
        <w:rPr>
          <w:rFonts w:hint="eastAsia" w:ascii="仿宋" w:hAnsi="仿宋"/>
          <w:szCs w:val="28"/>
        </w:rPr>
        <w:t>企业年金法人受托管理资质</w:t>
      </w:r>
    </w:p>
    <w:p w14:paraId="735A6E82">
      <w:pPr>
        <w:spacing w:after="0"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提供由中华人民共和国人力资源和社会保障部颁发的企业年金基金管理机构资格证书（资格类型：法人受托机构）</w:t>
      </w:r>
    </w:p>
    <w:p w14:paraId="4EFEBF30">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4374897E">
      <w:pPr>
        <w:pStyle w:val="4"/>
        <w:ind w:firstLine="560"/>
      </w:pPr>
      <w:r>
        <w:rPr>
          <w:rFonts w:hint="eastAsia"/>
        </w:rPr>
        <w:t>3.1.3企业法定代表人身份证明</w:t>
      </w:r>
    </w:p>
    <w:p w14:paraId="3A3B9FE4">
      <w:pPr>
        <w:pStyle w:val="9"/>
        <w:tabs>
          <w:tab w:val="left" w:pos="7170"/>
        </w:tabs>
        <w:rPr>
          <w:rFonts w:eastAsia="仿宋" w:cstheme="minorBidi"/>
          <w:b/>
          <w:bCs/>
          <w:color w:val="000000" w:themeColor="text1"/>
          <w:sz w:val="28"/>
          <w:szCs w:val="28"/>
          <w14:textFill>
            <w14:solidFill>
              <w14:schemeClr w14:val="tx1"/>
            </w14:solidFill>
          </w14:textFill>
          <w14:ligatures w14:val="standardContextual"/>
        </w:rPr>
      </w:pPr>
    </w:p>
    <w:p w14:paraId="08738049">
      <w:pPr>
        <w:pStyle w:val="9"/>
        <w:tabs>
          <w:tab w:val="left" w:pos="7170"/>
        </w:tabs>
        <w:rPr>
          <w:rFonts w:eastAsia="仿宋" w:cstheme="minorBidi"/>
          <w:bCs/>
          <w:color w:val="000000" w:themeColor="text1"/>
          <w:sz w:val="28"/>
          <w:szCs w:val="28"/>
          <w14:textFill>
            <w14:solidFill>
              <w14:schemeClr w14:val="tx1"/>
            </w14:solidFill>
          </w14:textFill>
          <w14:ligatures w14:val="standardContextual"/>
        </w:rPr>
      </w:pPr>
      <w:r>
        <w:rPr>
          <w:rFonts w:hint="eastAsia" w:eastAsia="仿宋" w:cstheme="minorBidi"/>
          <w:bCs/>
          <w:color w:val="000000" w:themeColor="text1"/>
          <w:sz w:val="28"/>
          <w:szCs w:val="28"/>
          <w14:textFill>
            <w14:solidFill>
              <w14:schemeClr w14:val="tx1"/>
            </w14:solidFill>
          </w14:textFill>
          <w14:ligatures w14:val="standardContextual"/>
        </w:rPr>
        <w:t>单位名称：</w:t>
      </w:r>
      <w:r>
        <w:rPr>
          <w:rFonts w:hint="eastAsia" w:eastAsia="仿宋" w:cstheme="minorBidi"/>
          <w:bCs/>
          <w:color w:val="000000" w:themeColor="text1"/>
          <w:sz w:val="28"/>
          <w:szCs w:val="28"/>
          <w:u w:val="single"/>
          <w14:textFill>
            <w14:solidFill>
              <w14:schemeClr w14:val="tx1"/>
            </w14:solidFill>
          </w14:textFill>
          <w14:ligatures w14:val="standardContextual"/>
        </w:rPr>
        <w:tab/>
      </w:r>
    </w:p>
    <w:p w14:paraId="520D148F">
      <w:pPr>
        <w:pStyle w:val="9"/>
        <w:tabs>
          <w:tab w:val="left" w:pos="7170"/>
        </w:tabs>
        <w:rPr>
          <w:rFonts w:eastAsia="仿宋" w:cstheme="minorBidi"/>
          <w:bCs/>
          <w:color w:val="000000" w:themeColor="text1"/>
          <w:sz w:val="28"/>
          <w:szCs w:val="28"/>
          <w14:textFill>
            <w14:solidFill>
              <w14:schemeClr w14:val="tx1"/>
            </w14:solidFill>
          </w14:textFill>
          <w14:ligatures w14:val="standardContextual"/>
        </w:rPr>
      </w:pPr>
      <w:r>
        <w:rPr>
          <w:rFonts w:hint="eastAsia" w:eastAsia="仿宋" w:cstheme="minorBidi"/>
          <w:bCs/>
          <w:color w:val="000000" w:themeColor="text1"/>
          <w:sz w:val="28"/>
          <w:szCs w:val="28"/>
          <w14:textFill>
            <w14:solidFill>
              <w14:schemeClr w14:val="tx1"/>
            </w14:solidFill>
          </w14:textFill>
          <w14:ligatures w14:val="standardContextual"/>
        </w:rPr>
        <w:t>单位性质：</w:t>
      </w:r>
      <w:r>
        <w:rPr>
          <w:rFonts w:hint="eastAsia" w:eastAsia="仿宋" w:cstheme="minorBidi"/>
          <w:bCs/>
          <w:color w:val="000000" w:themeColor="text1"/>
          <w:sz w:val="28"/>
          <w:szCs w:val="28"/>
          <w:u w:val="single"/>
          <w14:textFill>
            <w14:solidFill>
              <w14:schemeClr w14:val="tx1"/>
            </w14:solidFill>
          </w14:textFill>
          <w14:ligatures w14:val="standardContextual"/>
        </w:rPr>
        <w:tab/>
      </w:r>
    </w:p>
    <w:p w14:paraId="0F50DD9E">
      <w:pPr>
        <w:pStyle w:val="9"/>
        <w:tabs>
          <w:tab w:val="left" w:pos="7172"/>
          <w:tab w:val="left" w:pos="7636"/>
        </w:tabs>
        <w:spacing w:before="1"/>
        <w:rPr>
          <w:rFonts w:eastAsia="仿宋" w:cstheme="minorBidi"/>
          <w:bCs/>
          <w:color w:val="000000" w:themeColor="text1"/>
          <w:sz w:val="28"/>
          <w:szCs w:val="28"/>
          <w:u w:val="single"/>
          <w14:textFill>
            <w14:solidFill>
              <w14:schemeClr w14:val="tx1"/>
            </w14:solidFill>
          </w14:textFill>
          <w14:ligatures w14:val="standardContextual"/>
        </w:rPr>
      </w:pPr>
      <w:r>
        <w:rPr>
          <w:rFonts w:hint="eastAsia" w:eastAsia="仿宋" w:cstheme="minorBidi"/>
          <w:bCs/>
          <w:color w:val="000000" w:themeColor="text1"/>
          <w:sz w:val="28"/>
          <w:szCs w:val="28"/>
          <w14:textFill>
            <w14:solidFill>
              <w14:schemeClr w14:val="tx1"/>
            </w14:solidFill>
          </w14:textFill>
          <w14:ligatures w14:val="standardContextual"/>
        </w:rPr>
        <w:t>地址：</w:t>
      </w:r>
      <w:r>
        <w:rPr>
          <w:rFonts w:hint="eastAsia" w:eastAsia="仿宋" w:cstheme="minorBidi"/>
          <w:bCs/>
          <w:color w:val="000000" w:themeColor="text1"/>
          <w:sz w:val="28"/>
          <w:szCs w:val="28"/>
          <w:u w:val="single"/>
          <w14:textFill>
            <w14:solidFill>
              <w14:schemeClr w14:val="tx1"/>
            </w14:solidFill>
          </w14:textFill>
          <w14:ligatures w14:val="standardContextual"/>
        </w:rPr>
        <w:tab/>
      </w:r>
    </w:p>
    <w:p w14:paraId="787CFCDD">
      <w:pPr>
        <w:pStyle w:val="9"/>
        <w:tabs>
          <w:tab w:val="left" w:pos="3757"/>
          <w:tab w:val="left" w:pos="3991"/>
          <w:tab w:val="left" w:pos="7170"/>
        </w:tabs>
        <w:rPr>
          <w:rFonts w:eastAsia="仿宋" w:cstheme="minorBidi"/>
          <w:bCs/>
          <w:color w:val="000000" w:themeColor="text1"/>
          <w:sz w:val="28"/>
          <w:szCs w:val="28"/>
          <w:u w:val="single"/>
          <w14:textFill>
            <w14:solidFill>
              <w14:schemeClr w14:val="tx1"/>
            </w14:solidFill>
          </w14:textFill>
          <w14:ligatures w14:val="standardContextual"/>
        </w:rPr>
      </w:pPr>
      <w:r>
        <w:rPr>
          <w:rFonts w:hint="eastAsia" w:eastAsia="仿宋" w:cstheme="minorBidi"/>
          <w:bCs/>
          <w:color w:val="000000" w:themeColor="text1"/>
          <w:sz w:val="28"/>
          <w:szCs w:val="28"/>
          <w14:textFill>
            <w14:solidFill>
              <w14:schemeClr w14:val="tx1"/>
            </w14:solidFill>
          </w14:textFill>
          <w14:ligatures w14:val="standardContextual"/>
        </w:rPr>
        <w:t>姓名：</w:t>
      </w:r>
      <w:r>
        <w:rPr>
          <w:rFonts w:hint="eastAsia" w:eastAsia="仿宋" w:cstheme="minorBidi"/>
          <w:bCs/>
          <w:color w:val="000000" w:themeColor="text1"/>
          <w:sz w:val="28"/>
          <w:szCs w:val="28"/>
          <w:u w:val="single"/>
          <w14:textFill>
            <w14:solidFill>
              <w14:schemeClr w14:val="tx1"/>
            </w14:solidFill>
          </w14:textFill>
          <w14:ligatures w14:val="standardContextual"/>
        </w:rPr>
        <w:tab/>
      </w:r>
      <w:r>
        <w:rPr>
          <w:rFonts w:hint="eastAsia" w:eastAsia="仿宋" w:cstheme="minorBidi"/>
          <w:bCs/>
          <w:color w:val="000000" w:themeColor="text1"/>
          <w:sz w:val="28"/>
          <w:szCs w:val="28"/>
          <w14:textFill>
            <w14:solidFill>
              <w14:schemeClr w14:val="tx1"/>
            </w14:solidFill>
          </w14:textFill>
          <w14:ligatures w14:val="standardContextual"/>
        </w:rPr>
        <w:t>性别：</w:t>
      </w:r>
      <w:r>
        <w:rPr>
          <w:rFonts w:hint="eastAsia" w:eastAsia="仿宋" w:cstheme="minorBidi"/>
          <w:bCs/>
          <w:color w:val="000000" w:themeColor="text1"/>
          <w:sz w:val="28"/>
          <w:szCs w:val="28"/>
          <w:u w:val="single"/>
          <w14:textFill>
            <w14:solidFill>
              <w14:schemeClr w14:val="tx1"/>
            </w14:solidFill>
          </w14:textFill>
          <w14:ligatures w14:val="standardContextual"/>
        </w:rPr>
        <w:tab/>
      </w:r>
      <w:r>
        <w:rPr>
          <w:rFonts w:eastAsia="仿宋" w:cstheme="minorBidi"/>
          <w:bCs/>
          <w:color w:val="000000" w:themeColor="text1"/>
          <w:sz w:val="28"/>
          <w:szCs w:val="28"/>
          <w:u w:val="single"/>
          <w14:textFill>
            <w14:solidFill>
              <w14:schemeClr w14:val="tx1"/>
            </w14:solidFill>
          </w14:textFill>
          <w14:ligatures w14:val="standardContextual"/>
        </w:rPr>
        <w:t xml:space="preserve"> </w:t>
      </w:r>
    </w:p>
    <w:p w14:paraId="39231C55">
      <w:pPr>
        <w:pStyle w:val="9"/>
        <w:tabs>
          <w:tab w:val="left" w:pos="3755"/>
          <w:tab w:val="left" w:pos="7170"/>
        </w:tabs>
        <w:rPr>
          <w:rFonts w:eastAsia="仿宋" w:cstheme="minorBidi"/>
          <w:bCs/>
          <w:color w:val="000000" w:themeColor="text1"/>
          <w:sz w:val="28"/>
          <w:szCs w:val="28"/>
          <w:u w:val="single"/>
          <w14:textFill>
            <w14:solidFill>
              <w14:schemeClr w14:val="tx1"/>
            </w14:solidFill>
          </w14:textFill>
          <w14:ligatures w14:val="standardContextual"/>
        </w:rPr>
      </w:pPr>
      <w:r>
        <w:rPr>
          <w:rFonts w:hint="eastAsia" w:eastAsia="仿宋" w:cstheme="minorBidi"/>
          <w:bCs/>
          <w:color w:val="000000" w:themeColor="text1"/>
          <w:sz w:val="28"/>
          <w:szCs w:val="28"/>
          <w14:textFill>
            <w14:solidFill>
              <w14:schemeClr w14:val="tx1"/>
            </w14:solidFill>
          </w14:textFill>
          <w14:ligatures w14:val="standardContextual"/>
        </w:rPr>
        <w:t>年龄：</w:t>
      </w:r>
      <w:r>
        <w:rPr>
          <w:rFonts w:hint="eastAsia" w:eastAsia="仿宋" w:cstheme="minorBidi"/>
          <w:bCs/>
          <w:color w:val="000000" w:themeColor="text1"/>
          <w:sz w:val="28"/>
          <w:szCs w:val="28"/>
          <w:u w:val="single"/>
          <w14:textFill>
            <w14:solidFill>
              <w14:schemeClr w14:val="tx1"/>
            </w14:solidFill>
          </w14:textFill>
          <w14:ligatures w14:val="standardContextual"/>
        </w:rPr>
        <w:tab/>
      </w:r>
      <w:r>
        <w:rPr>
          <w:rFonts w:hint="eastAsia" w:eastAsia="仿宋" w:cstheme="minorBidi"/>
          <w:bCs/>
          <w:color w:val="000000" w:themeColor="text1"/>
          <w:sz w:val="28"/>
          <w:szCs w:val="28"/>
          <w14:textFill>
            <w14:solidFill>
              <w14:schemeClr w14:val="tx1"/>
            </w14:solidFill>
          </w14:textFill>
          <w14:ligatures w14:val="standardContextual"/>
        </w:rPr>
        <w:t>职务：</w:t>
      </w:r>
      <w:r>
        <w:rPr>
          <w:rFonts w:hint="eastAsia" w:eastAsia="仿宋" w:cstheme="minorBidi"/>
          <w:bCs/>
          <w:color w:val="000000" w:themeColor="text1"/>
          <w:sz w:val="28"/>
          <w:szCs w:val="28"/>
          <w:u w:val="single"/>
          <w14:textFill>
            <w14:solidFill>
              <w14:schemeClr w14:val="tx1"/>
            </w14:solidFill>
          </w14:textFill>
          <w14:ligatures w14:val="standardContextual"/>
        </w:rPr>
        <w:tab/>
      </w:r>
      <w:r>
        <w:rPr>
          <w:rFonts w:eastAsia="仿宋" w:cstheme="minorBidi"/>
          <w:bCs/>
          <w:color w:val="000000" w:themeColor="text1"/>
          <w:sz w:val="28"/>
          <w:szCs w:val="28"/>
          <w:u w:val="single"/>
          <w14:textFill>
            <w14:solidFill>
              <w14:schemeClr w14:val="tx1"/>
            </w14:solidFill>
          </w14:textFill>
          <w14:ligatures w14:val="standardContextual"/>
        </w:rPr>
        <w:t xml:space="preserve"> </w:t>
      </w:r>
    </w:p>
    <w:p w14:paraId="68968550">
      <w:pPr>
        <w:pStyle w:val="9"/>
        <w:tabs>
          <w:tab w:val="left" w:pos="2551"/>
          <w:tab w:val="left" w:pos="5790"/>
        </w:tabs>
        <w:ind w:firstLine="560" w:firstLineChars="200"/>
        <w:rPr>
          <w:rFonts w:eastAsia="仿宋" w:cstheme="minorBidi"/>
          <w:bCs/>
          <w:color w:val="000000" w:themeColor="text1"/>
          <w:sz w:val="28"/>
          <w:szCs w:val="28"/>
          <w14:textFill>
            <w14:solidFill>
              <w14:schemeClr w14:val="tx1"/>
            </w14:solidFill>
          </w14:textFill>
          <w14:ligatures w14:val="standardContextual"/>
        </w:rPr>
      </w:pPr>
      <w:r>
        <w:rPr>
          <w:rFonts w:hint="eastAsia" w:eastAsia="仿宋" w:cstheme="minorBidi"/>
          <w:bCs/>
          <w:color w:val="000000" w:themeColor="text1"/>
          <w:sz w:val="28"/>
          <w:szCs w:val="28"/>
          <w14:textFill>
            <w14:solidFill>
              <w14:schemeClr w14:val="tx1"/>
            </w14:solidFill>
          </w14:textFill>
          <w14:ligatures w14:val="standardContextual"/>
        </w:rPr>
        <w:t>系</w:t>
      </w:r>
      <w:r>
        <w:rPr>
          <w:rFonts w:hint="eastAsia" w:eastAsia="仿宋" w:cstheme="minorBidi"/>
          <w:bCs/>
          <w:color w:val="000000" w:themeColor="text1"/>
          <w:sz w:val="28"/>
          <w:szCs w:val="28"/>
          <w:u w:val="single"/>
          <w14:textFill>
            <w14:solidFill>
              <w14:schemeClr w14:val="tx1"/>
            </w14:solidFill>
          </w14:textFill>
          <w14:ligatures w14:val="standardContextual"/>
        </w:rPr>
        <w:tab/>
      </w:r>
      <w:r>
        <w:rPr>
          <w:rFonts w:hint="eastAsia" w:eastAsia="仿宋" w:cstheme="minorBidi"/>
          <w:bCs/>
          <w:color w:val="000000" w:themeColor="text1"/>
          <w:sz w:val="28"/>
          <w:szCs w:val="28"/>
          <w:u w:val="single"/>
          <w14:textFill>
            <w14:solidFill>
              <w14:schemeClr w14:val="tx1"/>
            </w14:solidFill>
          </w14:textFill>
          <w14:ligatures w14:val="standardContextual"/>
        </w:rPr>
        <w:t>投标人单位名称</w:t>
      </w:r>
      <w:r>
        <w:rPr>
          <w:rFonts w:hint="eastAsia" w:eastAsia="仿宋" w:cstheme="minorBidi"/>
          <w:bCs/>
          <w:color w:val="000000" w:themeColor="text1"/>
          <w:sz w:val="28"/>
          <w:szCs w:val="28"/>
          <w:u w:val="single"/>
          <w14:textFill>
            <w14:solidFill>
              <w14:schemeClr w14:val="tx1"/>
            </w14:solidFill>
          </w14:textFill>
          <w14:ligatures w14:val="standardContextual"/>
        </w:rPr>
        <w:tab/>
      </w:r>
      <w:r>
        <w:rPr>
          <w:rFonts w:hint="eastAsia" w:eastAsia="仿宋" w:cstheme="minorBidi"/>
          <w:bCs/>
          <w:color w:val="000000" w:themeColor="text1"/>
          <w:sz w:val="28"/>
          <w:szCs w:val="28"/>
          <w14:textFill>
            <w14:solidFill>
              <w14:schemeClr w14:val="tx1"/>
            </w14:solidFill>
          </w14:textFill>
          <w14:ligatures w14:val="standardContextual"/>
        </w:rPr>
        <w:t>的法定代表人。</w:t>
      </w:r>
    </w:p>
    <w:p w14:paraId="71853024">
      <w:pPr>
        <w:pStyle w:val="9"/>
        <w:spacing w:before="103"/>
        <w:rPr>
          <w:rFonts w:eastAsia="仿宋" w:cstheme="minorBidi"/>
          <w:bCs/>
          <w:color w:val="000000" w:themeColor="text1"/>
          <w:sz w:val="28"/>
          <w:szCs w:val="28"/>
          <w14:textFill>
            <w14:solidFill>
              <w14:schemeClr w14:val="tx1"/>
            </w14:solidFill>
          </w14:textFill>
          <w14:ligatures w14:val="standardContextual"/>
        </w:rPr>
      </w:pPr>
    </w:p>
    <w:p w14:paraId="1D94CC5E">
      <w:pPr>
        <w:pStyle w:val="9"/>
        <w:rPr>
          <w:rFonts w:eastAsia="仿宋" w:cstheme="minorBidi"/>
          <w:bCs/>
          <w:color w:val="000000" w:themeColor="text1"/>
          <w:sz w:val="28"/>
          <w:szCs w:val="28"/>
          <w14:textFill>
            <w14:solidFill>
              <w14:schemeClr w14:val="tx1"/>
            </w14:solidFill>
          </w14:textFill>
          <w14:ligatures w14:val="standardContextual"/>
        </w:rPr>
      </w:pPr>
      <w:r>
        <w:rPr>
          <w:rFonts w:hint="eastAsia" w:eastAsia="仿宋" w:cstheme="minorBidi"/>
          <w:bCs/>
          <w:color w:val="000000" w:themeColor="text1"/>
          <w:sz w:val="28"/>
          <w:szCs w:val="28"/>
          <w14:textFill>
            <w14:solidFill>
              <w14:schemeClr w14:val="tx1"/>
            </w14:solidFill>
          </w14:textFill>
          <w14:ligatures w14:val="standardContextual"/>
        </w:rPr>
        <w:t>特此证明。</w:t>
      </w:r>
    </w:p>
    <w:p w14:paraId="3722F16B">
      <w:pPr>
        <w:rPr>
          <w:rFonts w:ascii="宋体" w:hAnsi="宋体" w:eastAsia="仿宋"/>
          <w:b/>
          <w:bCs/>
          <w:color w:val="000000" w:themeColor="text1"/>
          <w:sz w:val="28"/>
          <w:szCs w:val="28"/>
          <w14:textFill>
            <w14:solidFill>
              <w14:schemeClr w14:val="tx1"/>
            </w14:solidFill>
          </w14:textFill>
        </w:rPr>
      </w:pPr>
      <w:r>
        <w:rPr>
          <w:rFonts w:hint="eastAsia" w:ascii="宋体" w:hAnsi="宋体" w:eastAsia="仿宋"/>
          <w:b/>
          <w:bCs/>
          <w:color w:val="000000" w:themeColor="text1"/>
          <w:sz w:val="28"/>
          <w:szCs w:val="28"/>
          <w14:textFill>
            <w14:solidFill>
              <w14:schemeClr w14:val="tx1"/>
            </w14:solidFill>
          </w14:textFill>
        </w:rPr>
        <mc:AlternateContent>
          <mc:Choice Requires="wps">
            <w:drawing>
              <wp:anchor distT="0" distB="0" distL="0" distR="0" simplePos="0" relativeHeight="251659264" behindDoc="1" locked="0" layoutInCell="1" allowOverlap="1">
                <wp:simplePos x="0" y="0"/>
                <wp:positionH relativeFrom="page">
                  <wp:posOffset>1190625</wp:posOffset>
                </wp:positionH>
                <wp:positionV relativeFrom="paragraph">
                  <wp:posOffset>151765</wp:posOffset>
                </wp:positionV>
                <wp:extent cx="5280025" cy="1721485"/>
                <wp:effectExtent l="4445" t="4445" r="19050" b="11430"/>
                <wp:wrapTopAndBottom/>
                <wp:docPr id="1317243733" name="文本框 3"/>
                <wp:cNvGraphicFramePr/>
                <a:graphic xmlns:a="http://schemas.openxmlformats.org/drawingml/2006/main">
                  <a:graphicData uri="http://schemas.microsoft.com/office/word/2010/wordprocessingShape">
                    <wps:wsp>
                      <wps:cNvSpPr txBox="1"/>
                      <wps:spPr>
                        <a:xfrm>
                          <a:off x="0" y="0"/>
                          <a:ext cx="5280025" cy="1721485"/>
                        </a:xfrm>
                        <a:prstGeom prst="rect">
                          <a:avLst/>
                        </a:prstGeom>
                        <a:ln w="6096">
                          <a:solidFill>
                            <a:srgbClr val="000000"/>
                          </a:solidFill>
                          <a:prstDash val="solid"/>
                        </a:ln>
                      </wps:spPr>
                      <wps:txbx>
                        <w:txbxContent>
                          <w:p w14:paraId="44119506">
                            <w:pPr>
                              <w:pStyle w:val="9"/>
                            </w:pPr>
                          </w:p>
                          <w:p w14:paraId="718ED70D">
                            <w:pPr>
                              <w:pStyle w:val="9"/>
                            </w:pPr>
                          </w:p>
                          <w:p w14:paraId="0FDCFFB1">
                            <w:pPr>
                              <w:pStyle w:val="9"/>
                              <w:spacing w:before="131"/>
                              <w:rPr>
                                <w:rFonts w:ascii="仿宋" w:hAnsi="仿宋" w:eastAsia="仿宋" w:cs="仿宋"/>
                                <w:sz w:val="21"/>
                                <w:szCs w:val="21"/>
                              </w:rPr>
                            </w:pPr>
                          </w:p>
                          <w:p w14:paraId="2C49E76B">
                            <w:pPr>
                              <w:pStyle w:val="9"/>
                              <w:ind w:left="1" w:right="1"/>
                              <w:jc w:val="center"/>
                              <w:rPr>
                                <w:rFonts w:ascii="仿宋" w:hAnsi="仿宋" w:eastAsia="仿宋" w:cs="仿宋"/>
                                <w:sz w:val="21"/>
                                <w:szCs w:val="21"/>
                              </w:rPr>
                            </w:pPr>
                            <w:r>
                              <w:rPr>
                                <w:rFonts w:hint="eastAsia" w:ascii="仿宋" w:hAnsi="仿宋" w:eastAsia="仿宋" w:cs="仿宋"/>
                                <w:spacing w:val="-1"/>
                                <w:sz w:val="21"/>
                                <w:szCs w:val="21"/>
                              </w:rPr>
                              <w:t>法定代表人身份证正反面复印件</w:t>
                            </w:r>
                          </w:p>
                        </w:txbxContent>
                      </wps:txbx>
                      <wps:bodyPr wrap="square" lIns="0" tIns="0" rIns="0" bIns="0" rtlCol="0">
                        <a:noAutofit/>
                      </wps:bodyPr>
                    </wps:wsp>
                  </a:graphicData>
                </a:graphic>
              </wp:anchor>
            </w:drawing>
          </mc:Choice>
          <mc:Fallback>
            <w:pict>
              <v:shape id="文本框 3" o:spid="_x0000_s1026" o:spt="202" type="#_x0000_t202" style="position:absolute;left:0pt;margin-left:93.75pt;margin-top:11.95pt;height:135.55pt;width:415.75pt;mso-position-horizontal-relative:page;mso-wrap-distance-bottom:0pt;mso-wrap-distance-top:0pt;z-index:-251657216;mso-width-relative:page;mso-height-relative:page;" filled="f" stroked="t" coordsize="21600,21600" o:gfxdata="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J9KWdYAAAALAQAADwAAAAAAAAABACAAAAAiAAAAZHJzL2Rvd25yZXYueG1sUEsB&#10;AhQAFAAAAAgAh07iQDRMPL/3AQAA4wMAAA4AAAAAAAAAAQAgAAAAJQEAAGRycy9lMm9Eb2MueG1s&#10;UEsFBgAAAAAGAAYAWQEAAI4FAAAAAA==&#10;">
                <v:fill on="f" focussize="0,0"/>
                <v:stroke weight="0.48pt" color="#000000" joinstyle="round"/>
                <v:imagedata o:title=""/>
                <o:lock v:ext="edit" aspectratio="f"/>
                <v:textbox inset="0mm,0mm,0mm,0mm">
                  <w:txbxContent>
                    <w:p w14:paraId="44119506">
                      <w:pPr>
                        <w:pStyle w:val="9"/>
                      </w:pPr>
                    </w:p>
                    <w:p w14:paraId="718ED70D">
                      <w:pPr>
                        <w:pStyle w:val="9"/>
                      </w:pPr>
                    </w:p>
                    <w:p w14:paraId="0FDCFFB1">
                      <w:pPr>
                        <w:pStyle w:val="9"/>
                        <w:spacing w:before="131"/>
                        <w:rPr>
                          <w:rFonts w:ascii="仿宋" w:hAnsi="仿宋" w:eastAsia="仿宋" w:cs="仿宋"/>
                          <w:sz w:val="21"/>
                          <w:szCs w:val="21"/>
                        </w:rPr>
                      </w:pPr>
                    </w:p>
                    <w:p w14:paraId="2C49E76B">
                      <w:pPr>
                        <w:pStyle w:val="9"/>
                        <w:ind w:left="1" w:right="1"/>
                        <w:jc w:val="center"/>
                        <w:rPr>
                          <w:rFonts w:ascii="仿宋" w:hAnsi="仿宋" w:eastAsia="仿宋" w:cs="仿宋"/>
                          <w:sz w:val="21"/>
                          <w:szCs w:val="21"/>
                        </w:rPr>
                      </w:pPr>
                      <w:r>
                        <w:rPr>
                          <w:rFonts w:hint="eastAsia" w:ascii="仿宋" w:hAnsi="仿宋" w:eastAsia="仿宋" w:cs="仿宋"/>
                          <w:spacing w:val="-1"/>
                          <w:sz w:val="21"/>
                          <w:szCs w:val="21"/>
                        </w:rPr>
                        <w:t>法定代表人身份证正反面复印件</w:t>
                      </w:r>
                    </w:p>
                  </w:txbxContent>
                </v:textbox>
                <w10:wrap type="topAndBottom"/>
              </v:shape>
            </w:pict>
          </mc:Fallback>
        </mc:AlternateContent>
      </w:r>
    </w:p>
    <w:p w14:paraId="52945E07">
      <w:pPr>
        <w:rPr>
          <w:rFonts w:ascii="宋体" w:hAnsi="宋体" w:eastAsia="仿宋"/>
          <w:bCs/>
          <w:color w:val="000000" w:themeColor="text1"/>
          <w:sz w:val="28"/>
          <w:szCs w:val="28"/>
          <w14:textFill>
            <w14:solidFill>
              <w14:schemeClr w14:val="tx1"/>
            </w14:solidFill>
          </w14:textFill>
        </w:rPr>
      </w:pPr>
      <w:r>
        <w:rPr>
          <w:rFonts w:hint="eastAsia" w:ascii="宋体" w:hAnsi="宋体" w:eastAsia="仿宋"/>
          <w:bCs/>
          <w:color w:val="000000" w:themeColor="text1"/>
          <w:sz w:val="28"/>
          <w:szCs w:val="28"/>
          <w14:textFill>
            <w14:solidFill>
              <w14:schemeClr w14:val="tx1"/>
            </w14:solidFill>
          </w14:textFill>
        </w:rPr>
        <w:t>投标人：</w:t>
      </w:r>
      <w:r>
        <w:rPr>
          <w:rFonts w:hint="eastAsia" w:ascii="宋体" w:hAnsi="宋体" w:eastAsia="仿宋"/>
          <w:bCs/>
          <w:color w:val="000000" w:themeColor="text1"/>
          <w:sz w:val="28"/>
          <w:szCs w:val="28"/>
          <w:u w:val="single"/>
          <w14:textFill>
            <w14:solidFill>
              <w14:schemeClr w14:val="tx1"/>
            </w14:solidFill>
          </w14:textFill>
        </w:rPr>
        <w:t xml:space="preserve">                           （盖单位公章）</w:t>
      </w:r>
    </w:p>
    <w:p w14:paraId="00BA0294">
      <w:pPr>
        <w:tabs>
          <w:tab w:val="left" w:pos="4530"/>
        </w:tabs>
        <w:spacing w:before="23" w:after="0" w:line="240" w:lineRule="auto"/>
        <w:ind w:right="1124"/>
        <w:rPr>
          <w:rFonts w:ascii="宋体" w:hAnsi="宋体" w:eastAsia="仿宋"/>
          <w:b/>
          <w:bCs/>
          <w:color w:val="000000" w:themeColor="text1"/>
          <w:sz w:val="24"/>
          <w14:textFill>
            <w14:solidFill>
              <w14:schemeClr w14:val="tx1"/>
            </w14:solidFill>
          </w14:textFill>
        </w:rPr>
      </w:pPr>
      <w:r>
        <w:rPr>
          <w:rFonts w:hint="eastAsia" w:ascii="宋体" w:hAnsi="宋体" w:eastAsia="仿宋"/>
          <w:bCs/>
          <w:color w:val="000000" w:themeColor="text1"/>
          <w:sz w:val="28"/>
          <w:szCs w:val="28"/>
          <w14:textFill>
            <w14:solidFill>
              <w14:schemeClr w14:val="tx1"/>
            </w14:solidFill>
          </w14:textFill>
        </w:rPr>
        <w:t>日期：</w:t>
      </w:r>
      <w:r>
        <w:rPr>
          <w:rFonts w:hint="eastAsia" w:ascii="宋体" w:hAnsi="宋体" w:eastAsia="仿宋"/>
          <w:bCs/>
          <w:color w:val="000000" w:themeColor="text1"/>
          <w:sz w:val="24"/>
          <w14:textFill>
            <w14:solidFill>
              <w14:schemeClr w14:val="tx1"/>
            </w14:solidFill>
          </w14:textFill>
        </w:rPr>
        <w:t xml:space="preserve">    </w:t>
      </w:r>
      <w:r>
        <w:rPr>
          <w:rFonts w:hint="eastAsia" w:ascii="宋体" w:hAnsi="宋体" w:eastAsia="仿宋"/>
          <w:b/>
          <w:bCs/>
          <w:color w:val="000000" w:themeColor="text1"/>
          <w:sz w:val="24"/>
          <w14:textFill>
            <w14:solidFill>
              <w14:schemeClr w14:val="tx1"/>
            </w14:solidFill>
          </w14:textFill>
        </w:rPr>
        <w:t xml:space="preserve">                               </w:t>
      </w:r>
      <w:r>
        <w:rPr>
          <w:rFonts w:hint="eastAsia" w:ascii="宋体" w:hAnsi="宋体" w:eastAsia="仿宋"/>
          <w:b/>
          <w:bCs/>
          <w:color w:val="000000" w:themeColor="text1"/>
          <w:sz w:val="24"/>
          <w14:textFill>
            <w14:solidFill>
              <w14:schemeClr w14:val="tx1"/>
            </w14:solidFill>
          </w14:textFill>
        </w:rPr>
        <w:tab/>
      </w:r>
    </w:p>
    <w:p w14:paraId="118B543A">
      <w:pPr>
        <w:widowControl/>
        <w:rPr>
          <w:rFonts w:ascii="宋体" w:hAnsi="宋体" w:eastAsia="仿宋"/>
          <w:b/>
          <w:bCs/>
          <w:color w:val="000000" w:themeColor="text1"/>
          <w:sz w:val="24"/>
          <w14:textFill>
            <w14:solidFill>
              <w14:schemeClr w14:val="tx1"/>
            </w14:solidFill>
          </w14:textFill>
        </w:rPr>
      </w:pPr>
      <w:r>
        <w:rPr>
          <w:rFonts w:ascii="宋体" w:hAnsi="宋体" w:eastAsia="仿宋"/>
          <w:b/>
          <w:bCs/>
          <w:color w:val="000000" w:themeColor="text1"/>
          <w:sz w:val="24"/>
          <w14:textFill>
            <w14:solidFill>
              <w14:schemeClr w14:val="tx1"/>
            </w14:solidFill>
          </w14:textFill>
        </w:rPr>
        <w:br w:type="page"/>
      </w:r>
    </w:p>
    <w:p w14:paraId="7F0D7E19">
      <w:pPr>
        <w:pStyle w:val="4"/>
        <w:ind w:firstLine="560"/>
      </w:pPr>
      <w:r>
        <w:rPr>
          <w:rFonts w:hint="eastAsia"/>
        </w:rPr>
        <w:t>3.1.4法定代表人授权书原件</w:t>
      </w:r>
    </w:p>
    <w:p w14:paraId="2BDC4D04">
      <w:pPr>
        <w:tabs>
          <w:tab w:val="left" w:pos="4530"/>
        </w:tabs>
        <w:spacing w:after="0" w:line="560" w:lineRule="exact"/>
        <w:ind w:firstLine="562" w:firstLineChars="200"/>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法人授权委托书</w:t>
      </w:r>
    </w:p>
    <w:p w14:paraId="3D835D75">
      <w:pPr>
        <w:pStyle w:val="9"/>
        <w:tabs>
          <w:tab w:val="left" w:pos="7076"/>
        </w:tabs>
        <w:spacing w:line="560" w:lineRule="exact"/>
        <w:ind w:firstLine="560" w:firstLineChars="200"/>
        <w:rPr>
          <w:rFonts w:ascii="仿宋" w:hAnsi="仿宋" w:eastAsia="仿宋" w:cstheme="minorBidi"/>
          <w:bCs/>
          <w:color w:val="000000" w:themeColor="text1"/>
          <w:sz w:val="28"/>
          <w:szCs w:val="28"/>
          <w14:textFill>
            <w14:solidFill>
              <w14:schemeClr w14:val="tx1"/>
            </w14:solidFill>
          </w14:textFill>
          <w14:ligatures w14:val="standardContextual"/>
        </w:rPr>
      </w:pPr>
      <w:r>
        <w:rPr>
          <w:rFonts w:hint="eastAsia" w:ascii="仿宋" w:hAnsi="仿宋" w:eastAsia="仿宋" w:cstheme="minorBidi"/>
          <w:bCs/>
          <w:color w:val="000000" w:themeColor="text1"/>
          <w:sz w:val="28"/>
          <w:szCs w:val="28"/>
          <w14:textFill>
            <w14:solidFill>
              <w14:schemeClr w14:val="tx1"/>
            </w14:solidFill>
          </w14:textFill>
          <w14:ligatures w14:val="standardContextual"/>
        </w:rPr>
        <w:t>委托人</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 xml:space="preserve"> （投标单位全称）</w:t>
      </w:r>
      <w:r>
        <w:rPr>
          <w:rFonts w:hint="eastAsia" w:ascii="仿宋" w:hAnsi="仿宋" w:eastAsia="仿宋" w:cstheme="minorBidi"/>
          <w:bCs/>
          <w:color w:val="000000" w:themeColor="text1"/>
          <w:sz w:val="28"/>
          <w:szCs w:val="28"/>
          <w14:textFill>
            <w14:solidFill>
              <w14:schemeClr w14:val="tx1"/>
            </w14:solidFill>
          </w14:textFill>
          <w14:ligatures w14:val="standardContextual"/>
        </w:rPr>
        <w:t xml:space="preserve"> ，法定代表人</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 xml:space="preserve"> （姓名）  </w:t>
      </w:r>
      <w:r>
        <w:rPr>
          <w:rFonts w:hint="eastAsia" w:ascii="仿宋" w:hAnsi="仿宋" w:eastAsia="仿宋" w:cstheme="minorBidi"/>
          <w:bCs/>
          <w:color w:val="000000" w:themeColor="text1"/>
          <w:sz w:val="28"/>
          <w:szCs w:val="28"/>
          <w14:textFill>
            <w14:solidFill>
              <w14:schemeClr w14:val="tx1"/>
            </w14:solidFill>
          </w14:textFill>
          <w14:ligatures w14:val="standardContextual"/>
        </w:rPr>
        <w:t>，职务</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 xml:space="preserve"> </w:t>
      </w:r>
      <w:r>
        <w:rPr>
          <w:rFonts w:ascii="仿宋" w:hAnsi="仿宋" w:eastAsia="仿宋" w:cstheme="minorBidi"/>
          <w:bCs/>
          <w:color w:val="000000" w:themeColor="text1"/>
          <w:sz w:val="28"/>
          <w:szCs w:val="28"/>
          <w:u w:val="single"/>
          <w14:textFill>
            <w14:solidFill>
              <w14:schemeClr w14:val="tx1"/>
            </w14:solidFill>
          </w14:textFill>
          <w14:ligatures w14:val="standardContextual"/>
        </w:rPr>
        <w:t xml:space="preserve">    </w:t>
      </w:r>
      <w:r>
        <w:rPr>
          <w:rFonts w:hint="eastAsia" w:ascii="仿宋" w:hAnsi="仿宋" w:eastAsia="仿宋" w:cstheme="minorBidi"/>
          <w:bCs/>
          <w:color w:val="000000" w:themeColor="text1"/>
          <w:sz w:val="28"/>
          <w:szCs w:val="28"/>
          <w14:textFill>
            <w14:solidFill>
              <w14:schemeClr w14:val="tx1"/>
            </w14:solidFill>
          </w14:textFill>
          <w14:ligatures w14:val="standardContextual"/>
        </w:rPr>
        <w:t>，现授权委托</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 xml:space="preserve">  （投标单位全称） </w:t>
      </w:r>
      <w:r>
        <w:rPr>
          <w:rFonts w:hint="eastAsia" w:ascii="仿宋" w:hAnsi="仿宋" w:eastAsia="仿宋" w:cstheme="minorBidi"/>
          <w:bCs/>
          <w:color w:val="000000" w:themeColor="text1"/>
          <w:sz w:val="28"/>
          <w:szCs w:val="28"/>
          <w14:textFill>
            <w14:solidFill>
              <w14:schemeClr w14:val="tx1"/>
            </w14:solidFill>
          </w14:textFill>
          <w14:ligatures w14:val="standardContextual"/>
        </w:rPr>
        <w:t>的</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 xml:space="preserve"> （姓名）(职务) </w:t>
      </w:r>
      <w:r>
        <w:rPr>
          <w:rFonts w:hint="eastAsia" w:ascii="仿宋" w:hAnsi="仿宋" w:eastAsia="仿宋" w:cstheme="minorBidi"/>
          <w:bCs/>
          <w:color w:val="000000" w:themeColor="text1"/>
          <w:sz w:val="28"/>
          <w:szCs w:val="28"/>
          <w14:textFill>
            <w14:solidFill>
              <w14:schemeClr w14:val="tx1"/>
            </w14:solidFill>
          </w14:textFill>
          <w14:ligatures w14:val="standardContextual"/>
        </w:rPr>
        <w:t>（性别：</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 xml:space="preserve"> </w:t>
      </w:r>
      <w:r>
        <w:rPr>
          <w:rFonts w:ascii="仿宋" w:hAnsi="仿宋" w:eastAsia="仿宋" w:cstheme="minorBidi"/>
          <w:bCs/>
          <w:color w:val="000000" w:themeColor="text1"/>
          <w:sz w:val="28"/>
          <w:szCs w:val="28"/>
          <w:u w:val="single"/>
          <w14:textFill>
            <w14:solidFill>
              <w14:schemeClr w14:val="tx1"/>
            </w14:solidFill>
          </w14:textFill>
          <w14:ligatures w14:val="standardContextual"/>
        </w:rPr>
        <w:t xml:space="preserve">  </w:t>
      </w:r>
      <w:r>
        <w:rPr>
          <w:rFonts w:hint="eastAsia" w:ascii="仿宋" w:hAnsi="仿宋" w:eastAsia="仿宋" w:cstheme="minorBidi"/>
          <w:bCs/>
          <w:color w:val="000000" w:themeColor="text1"/>
          <w:sz w:val="28"/>
          <w:szCs w:val="28"/>
          <w14:textFill>
            <w14:solidFill>
              <w14:schemeClr w14:val="tx1"/>
            </w14:solidFill>
          </w14:textFill>
          <w14:ligatures w14:val="standardContextual"/>
        </w:rPr>
        <w:t>）为我单位委托代理人。被授权人在我单位参加的</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ab/>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 xml:space="preserve">（项目名称）    </w:t>
      </w:r>
      <w:r>
        <w:rPr>
          <w:rFonts w:hint="eastAsia" w:ascii="仿宋" w:hAnsi="仿宋" w:eastAsia="仿宋" w:cstheme="minorBidi"/>
          <w:bCs/>
          <w:color w:val="000000" w:themeColor="text1"/>
          <w:sz w:val="28"/>
          <w:szCs w:val="28"/>
          <w14:textFill>
            <w14:solidFill>
              <w14:schemeClr w14:val="tx1"/>
            </w14:solidFill>
          </w14:textFill>
          <w14:ligatures w14:val="standardContextual"/>
        </w:rPr>
        <w:t>项目投标活动过程中有权代表我单位做出相关意思表示。被授权人在投标、开标、评标、合同谈判等过程中所签署的一切文件和处理与之有关的一切事务均代表我单位，我单位均予以承认，并承担相应的法律后果。</w:t>
      </w:r>
    </w:p>
    <w:p w14:paraId="73A52486">
      <w:pPr>
        <w:pStyle w:val="9"/>
        <w:tabs>
          <w:tab w:val="left" w:pos="2572"/>
          <w:tab w:val="left" w:pos="3172"/>
          <w:tab w:val="left" w:pos="3772"/>
          <w:tab w:val="left" w:pos="5212"/>
          <w:tab w:val="left" w:pos="5812"/>
          <w:tab w:val="left" w:pos="6412"/>
        </w:tabs>
        <w:spacing w:line="560" w:lineRule="exact"/>
        <w:ind w:firstLine="560" w:firstLineChars="200"/>
        <w:rPr>
          <w:rFonts w:ascii="仿宋" w:hAnsi="仿宋" w:eastAsia="仿宋" w:cstheme="minorBidi"/>
          <w:bCs/>
          <w:color w:val="000000" w:themeColor="text1"/>
          <w:sz w:val="28"/>
          <w:szCs w:val="28"/>
          <w14:textFill>
            <w14:solidFill>
              <w14:schemeClr w14:val="tx1"/>
            </w14:solidFill>
          </w14:textFill>
          <w14:ligatures w14:val="standardContextual"/>
        </w:rPr>
      </w:pPr>
      <w:r>
        <w:rPr>
          <w:rFonts w:hint="eastAsia" w:ascii="仿宋" w:hAnsi="仿宋" w:eastAsia="仿宋" w:cstheme="minorBidi"/>
          <w:bCs/>
          <w:color w:val="000000" w:themeColor="text1"/>
          <w:sz w:val="28"/>
          <w:szCs w:val="28"/>
          <w14:textFill>
            <w14:solidFill>
              <w14:schemeClr w14:val="tx1"/>
            </w14:solidFill>
          </w14:textFill>
          <w14:ligatures w14:val="standardContextual"/>
        </w:rPr>
        <w:drawing>
          <wp:anchor distT="0" distB="0" distL="0" distR="0" simplePos="0" relativeHeight="251660288" behindDoc="1" locked="0" layoutInCell="1" allowOverlap="1">
            <wp:simplePos x="0" y="0"/>
            <wp:positionH relativeFrom="page">
              <wp:posOffset>1034415</wp:posOffset>
            </wp:positionH>
            <wp:positionV relativeFrom="paragraph">
              <wp:posOffset>751205</wp:posOffset>
            </wp:positionV>
            <wp:extent cx="5087620" cy="2893695"/>
            <wp:effectExtent l="0" t="0" r="2540" b="1905"/>
            <wp:wrapTopAndBottom/>
            <wp:docPr id="2019698633"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2019698633" name="图片 1" descr="图示&#10;&#10;AI 生成的内容可能不正确。"/>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87620" cy="2893695"/>
                    </a:xfrm>
                    <a:prstGeom prst="rect">
                      <a:avLst/>
                    </a:prstGeom>
                    <a:noFill/>
                    <a:ln>
                      <a:noFill/>
                    </a:ln>
                  </pic:spPr>
                </pic:pic>
              </a:graphicData>
            </a:graphic>
          </wp:anchor>
        </w:drawing>
      </w:r>
      <w:r>
        <w:rPr>
          <w:rFonts w:hint="eastAsia" w:ascii="仿宋" w:hAnsi="仿宋" w:eastAsia="仿宋" w:cstheme="minorBidi"/>
          <w:bCs/>
          <w:color w:val="000000" w:themeColor="text1"/>
          <w:sz w:val="28"/>
          <w:szCs w:val="28"/>
          <w14:textFill>
            <w14:solidFill>
              <w14:schemeClr w14:val="tx1"/>
            </w14:solidFill>
          </w14:textFill>
          <w14:ligatures w14:val="standardContextual"/>
        </w:rPr>
        <w:t>有效期：</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ab/>
      </w:r>
      <w:r>
        <w:rPr>
          <w:rFonts w:hint="eastAsia" w:ascii="仿宋" w:hAnsi="仿宋" w:eastAsia="仿宋" w:cstheme="minorBidi"/>
          <w:bCs/>
          <w:color w:val="000000" w:themeColor="text1"/>
          <w:sz w:val="28"/>
          <w:szCs w:val="28"/>
          <w14:textFill>
            <w14:solidFill>
              <w14:schemeClr w14:val="tx1"/>
            </w14:solidFill>
          </w14:textFill>
          <w14:ligatures w14:val="standardContextual"/>
        </w:rPr>
        <w:t>年</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ab/>
      </w:r>
      <w:r>
        <w:rPr>
          <w:rFonts w:hint="eastAsia" w:ascii="仿宋" w:hAnsi="仿宋" w:eastAsia="仿宋" w:cstheme="minorBidi"/>
          <w:bCs/>
          <w:color w:val="000000" w:themeColor="text1"/>
          <w:sz w:val="28"/>
          <w:szCs w:val="28"/>
          <w14:textFill>
            <w14:solidFill>
              <w14:schemeClr w14:val="tx1"/>
            </w14:solidFill>
          </w14:textFill>
          <w14:ligatures w14:val="standardContextual"/>
        </w:rPr>
        <w:t>月</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ab/>
      </w:r>
      <w:r>
        <w:rPr>
          <w:rFonts w:hint="eastAsia" w:ascii="仿宋" w:hAnsi="仿宋" w:eastAsia="仿宋" w:cstheme="minorBidi"/>
          <w:bCs/>
          <w:color w:val="000000" w:themeColor="text1"/>
          <w:sz w:val="28"/>
          <w:szCs w:val="28"/>
          <w14:textFill>
            <w14:solidFill>
              <w14:schemeClr w14:val="tx1"/>
            </w14:solidFill>
          </w14:textFill>
          <w14:ligatures w14:val="standardContextual"/>
        </w:rPr>
        <w:t>日起至</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ab/>
      </w:r>
      <w:r>
        <w:rPr>
          <w:rFonts w:hint="eastAsia" w:ascii="仿宋" w:hAnsi="仿宋" w:eastAsia="仿宋" w:cstheme="minorBidi"/>
          <w:bCs/>
          <w:color w:val="000000" w:themeColor="text1"/>
          <w:sz w:val="28"/>
          <w:szCs w:val="28"/>
          <w14:textFill>
            <w14:solidFill>
              <w14:schemeClr w14:val="tx1"/>
            </w14:solidFill>
          </w14:textFill>
          <w14:ligatures w14:val="standardContextual"/>
        </w:rPr>
        <w:t>年</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ab/>
      </w:r>
      <w:r>
        <w:rPr>
          <w:rFonts w:hint="eastAsia" w:ascii="仿宋" w:hAnsi="仿宋" w:eastAsia="仿宋" w:cstheme="minorBidi"/>
          <w:bCs/>
          <w:color w:val="000000" w:themeColor="text1"/>
          <w:sz w:val="28"/>
          <w:szCs w:val="28"/>
          <w14:textFill>
            <w14:solidFill>
              <w14:schemeClr w14:val="tx1"/>
            </w14:solidFill>
          </w14:textFill>
          <w14:ligatures w14:val="standardContextual"/>
        </w:rPr>
        <w:t>月</w:t>
      </w:r>
      <w:r>
        <w:rPr>
          <w:rFonts w:hint="eastAsia" w:ascii="仿宋" w:hAnsi="仿宋" w:eastAsia="仿宋" w:cstheme="minorBidi"/>
          <w:bCs/>
          <w:color w:val="000000" w:themeColor="text1"/>
          <w:sz w:val="28"/>
          <w:szCs w:val="28"/>
          <w:u w:val="single"/>
          <w14:textFill>
            <w14:solidFill>
              <w14:schemeClr w14:val="tx1"/>
            </w14:solidFill>
          </w14:textFill>
          <w14:ligatures w14:val="standardContextual"/>
        </w:rPr>
        <w:tab/>
      </w:r>
      <w:r>
        <w:rPr>
          <w:rFonts w:hint="eastAsia" w:ascii="仿宋" w:hAnsi="仿宋" w:eastAsia="仿宋" w:cstheme="minorBidi"/>
          <w:bCs/>
          <w:color w:val="000000" w:themeColor="text1"/>
          <w:sz w:val="28"/>
          <w:szCs w:val="28"/>
          <w14:textFill>
            <w14:solidFill>
              <w14:schemeClr w14:val="tx1"/>
            </w14:solidFill>
          </w14:textFill>
          <w14:ligatures w14:val="standardContextual"/>
        </w:rPr>
        <w:t>日止。代理人无转委托权，特此授权。</w:t>
      </w:r>
    </w:p>
    <w:p w14:paraId="21770C69">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投标人（单位名称）：</w:t>
      </w:r>
      <w:r>
        <w:rPr>
          <w:rFonts w:hint="eastAsia" w:ascii="仿宋" w:hAnsi="仿宋" w:eastAsia="仿宋"/>
          <w:bCs/>
          <w:color w:val="000000" w:themeColor="text1"/>
          <w:sz w:val="28"/>
          <w:szCs w:val="28"/>
          <w:u w:val="single"/>
          <w14:textFill>
            <w14:solidFill>
              <w14:schemeClr w14:val="tx1"/>
            </w14:solidFill>
          </w14:textFill>
        </w:rPr>
        <w:t xml:space="preserve">                  （盖公章）</w:t>
      </w:r>
    </w:p>
    <w:p w14:paraId="6F23E8FD">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法定代表人：</w:t>
      </w:r>
      <w:r>
        <w:rPr>
          <w:rFonts w:hint="eastAsia" w:ascii="仿宋" w:hAnsi="仿宋" w:eastAsia="仿宋"/>
          <w:bCs/>
          <w:color w:val="000000" w:themeColor="text1"/>
          <w:sz w:val="28"/>
          <w:szCs w:val="28"/>
          <w:u w:val="single"/>
          <w14:textFill>
            <w14:solidFill>
              <w14:schemeClr w14:val="tx1"/>
            </w14:solidFill>
          </w14:textFill>
        </w:rPr>
        <w:t xml:space="preserve">                         （签字或盖章）</w:t>
      </w:r>
    </w:p>
    <w:p w14:paraId="4FAE31BD">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委托代理人：</w:t>
      </w:r>
      <w:r>
        <w:rPr>
          <w:rFonts w:hint="eastAsia" w:ascii="仿宋" w:hAnsi="仿宋" w:eastAsia="仿宋"/>
          <w:bCs/>
          <w:color w:val="000000" w:themeColor="text1"/>
          <w:sz w:val="28"/>
          <w:szCs w:val="28"/>
          <w:u w:val="single"/>
          <w14:textFill>
            <w14:solidFill>
              <w14:schemeClr w14:val="tx1"/>
            </w14:solidFill>
          </w14:textFill>
        </w:rPr>
        <w:t xml:space="preserve">                         （签字）</w:t>
      </w:r>
    </w:p>
    <w:p w14:paraId="68B6F500">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详细通讯地址：</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u w:val="single"/>
          <w14:textFill>
            <w14:solidFill>
              <w14:schemeClr w14:val="tx1"/>
            </w14:solidFill>
          </w14:textFill>
        </w:rPr>
        <w:tab/>
      </w:r>
    </w:p>
    <w:p w14:paraId="4DE1FCEE">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委托代理人电话：</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u w:val="single"/>
          <w14:textFill>
            <w14:solidFill>
              <w14:schemeClr w14:val="tx1"/>
            </w14:solidFill>
          </w14:textFill>
        </w:rPr>
        <w:tab/>
      </w:r>
    </w:p>
    <w:p w14:paraId="71B120EE">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电子邮箱：</w:t>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14:textFill>
            <w14:solidFill>
              <w14:schemeClr w14:val="tx1"/>
            </w14:solidFill>
          </w14:textFill>
        </w:rPr>
        <w:tab/>
      </w:r>
    </w:p>
    <w:p w14:paraId="1C024CA5">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日</w:t>
      </w:r>
      <w:r>
        <w:rPr>
          <w:rFonts w:hint="eastAsia" w:ascii="仿宋" w:hAnsi="仿宋" w:eastAsia="仿宋"/>
          <w:bCs/>
          <w:color w:val="000000" w:themeColor="text1"/>
          <w:sz w:val="28"/>
          <w:szCs w:val="28"/>
          <w14:textFill>
            <w14:solidFill>
              <w14:schemeClr w14:val="tx1"/>
            </w14:solidFill>
          </w14:textFill>
        </w:rPr>
        <w:tab/>
      </w:r>
      <w:r>
        <w:rPr>
          <w:rFonts w:hint="eastAsia" w:ascii="仿宋" w:hAnsi="仿宋" w:eastAsia="仿宋"/>
          <w:bCs/>
          <w:color w:val="000000" w:themeColor="text1"/>
          <w:sz w:val="28"/>
          <w:szCs w:val="28"/>
          <w14:textFill>
            <w14:solidFill>
              <w14:schemeClr w14:val="tx1"/>
            </w14:solidFill>
          </w14:textFill>
        </w:rPr>
        <w:t xml:space="preserve">  期：    年</w:t>
      </w:r>
      <w:r>
        <w:rPr>
          <w:rFonts w:hint="eastAsia" w:ascii="仿宋" w:hAnsi="仿宋" w:eastAsia="仿宋"/>
          <w:bCs/>
          <w:color w:val="000000" w:themeColor="text1"/>
          <w:sz w:val="28"/>
          <w:szCs w:val="28"/>
          <w14:textFill>
            <w14:solidFill>
              <w14:schemeClr w14:val="tx1"/>
            </w14:solidFill>
          </w14:textFill>
        </w:rPr>
        <w:tab/>
      </w:r>
      <w:r>
        <w:rPr>
          <w:rFonts w:hint="eastAsia" w:ascii="仿宋" w:hAnsi="仿宋" w:eastAsia="仿宋"/>
          <w:bCs/>
          <w:color w:val="000000" w:themeColor="text1"/>
          <w:sz w:val="28"/>
          <w:szCs w:val="28"/>
          <w14:textFill>
            <w14:solidFill>
              <w14:schemeClr w14:val="tx1"/>
            </w14:solidFill>
          </w14:textFill>
        </w:rPr>
        <w:t>月</w:t>
      </w:r>
      <w:r>
        <w:rPr>
          <w:rFonts w:hint="eastAsia" w:ascii="仿宋" w:hAnsi="仿宋" w:eastAsia="仿宋"/>
          <w:bCs/>
          <w:color w:val="000000" w:themeColor="text1"/>
          <w:sz w:val="28"/>
          <w:szCs w:val="28"/>
          <w14:textFill>
            <w14:solidFill>
              <w14:schemeClr w14:val="tx1"/>
            </w14:solidFill>
          </w14:textFill>
        </w:rPr>
        <w:tab/>
      </w:r>
      <w:r>
        <w:rPr>
          <w:rFonts w:hint="eastAsia" w:ascii="仿宋" w:hAnsi="仿宋" w:eastAsia="仿宋"/>
          <w:bCs/>
          <w:color w:val="000000" w:themeColor="text1"/>
          <w:sz w:val="28"/>
          <w:szCs w:val="28"/>
          <w14:textFill>
            <w14:solidFill>
              <w14:schemeClr w14:val="tx1"/>
            </w14:solidFill>
          </w14:textFill>
        </w:rPr>
        <w:t xml:space="preserve">  日</w:t>
      </w:r>
    </w:p>
    <w:p w14:paraId="15565F0F">
      <w:pPr>
        <w:widowControl/>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br w:type="page"/>
      </w:r>
    </w:p>
    <w:p w14:paraId="769F1BC7">
      <w:pPr>
        <w:pStyle w:val="4"/>
        <w:ind w:firstLine="560"/>
      </w:pPr>
      <w:r>
        <w:rPr>
          <w:rFonts w:hint="eastAsia"/>
        </w:rPr>
        <w:t>3.1.5履行合同所必需的设备和专业技术能力的证明材料</w:t>
      </w:r>
    </w:p>
    <w:p w14:paraId="637452BC">
      <w:pPr>
        <w:pStyle w:val="6"/>
        <w:ind w:firstLine="560" w:firstLineChars="200"/>
        <w:rPr>
          <w:rFonts w:ascii="宋体" w:hAnsi="宋体"/>
          <w:bCs/>
          <w:color w:val="000000" w:themeColor="text1"/>
          <w:sz w:val="28"/>
          <w14:textFill>
            <w14:solidFill>
              <w14:schemeClr w14:val="tx1"/>
            </w14:solidFill>
          </w14:textFill>
        </w:rPr>
      </w:pPr>
      <w:r>
        <w:rPr>
          <w:rFonts w:hint="eastAsia" w:ascii="宋体" w:hAnsi="宋体"/>
          <w:bCs/>
          <w:color w:val="000000" w:themeColor="text1"/>
          <w:sz w:val="28"/>
          <w14:textFill>
            <w14:solidFill>
              <w14:schemeClr w14:val="tx1"/>
            </w14:solidFill>
          </w14:textFill>
        </w:rPr>
        <w:t>注：提供具有履行合同所必需的设备和专业技术能力的承诺书（格式自拟）</w:t>
      </w:r>
    </w:p>
    <w:p w14:paraId="21EB536D">
      <w:pPr>
        <w:rPr>
          <w:rFonts w:ascii="宋体" w:hAnsi="宋体" w:eastAsia="仿宋"/>
          <w:b/>
          <w:bCs/>
          <w:color w:val="000000" w:themeColor="text1"/>
          <w:sz w:val="24"/>
          <w14:textFill>
            <w14:solidFill>
              <w14:schemeClr w14:val="tx1"/>
            </w14:solidFill>
          </w14:textFill>
        </w:rPr>
      </w:pPr>
    </w:p>
    <w:p w14:paraId="2B11E859">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0D43E629">
      <w:pPr>
        <w:pStyle w:val="4"/>
        <w:ind w:firstLine="560"/>
      </w:pPr>
      <w:r>
        <w:rPr>
          <w:rFonts w:hint="eastAsia"/>
        </w:rPr>
        <w:t>3.1.6具有符合要求的营业场所、安全防范设施和与企业年金基金受托管理业务有关的其他设施</w:t>
      </w:r>
    </w:p>
    <w:p w14:paraId="2B0EB557">
      <w:pPr>
        <w:pStyle w:val="6"/>
        <w:ind w:firstLine="560" w:firstLineChars="200"/>
        <w:jc w:val="left"/>
        <w:rPr>
          <w:rFonts w:ascii="宋体" w:hAnsi="宋体"/>
          <w:bCs/>
          <w:color w:val="000000" w:themeColor="text1"/>
          <w:sz w:val="28"/>
          <w14:textFill>
            <w14:solidFill>
              <w14:schemeClr w14:val="tx1"/>
            </w14:solidFill>
          </w14:textFill>
        </w:rPr>
      </w:pPr>
      <w:r>
        <w:rPr>
          <w:rFonts w:hint="eastAsia" w:ascii="宋体" w:hAnsi="宋体"/>
          <w:bCs/>
          <w:color w:val="000000" w:themeColor="text1"/>
          <w:sz w:val="28"/>
          <w14:textFill>
            <w14:solidFill>
              <w14:schemeClr w14:val="tx1"/>
            </w14:solidFill>
          </w14:textFill>
        </w:rPr>
        <w:t>注：须提供相应的证明文件</w:t>
      </w:r>
    </w:p>
    <w:p w14:paraId="23CF1EEA">
      <w:pPr>
        <w:rPr>
          <w:rFonts w:ascii="宋体" w:hAnsi="宋体" w:eastAsia="仿宋"/>
          <w:b/>
          <w:bCs/>
          <w:color w:val="000000" w:themeColor="text1"/>
          <w:sz w:val="24"/>
          <w14:textFill>
            <w14:solidFill>
              <w14:schemeClr w14:val="tx1"/>
            </w14:solidFill>
          </w14:textFill>
        </w:rPr>
      </w:pPr>
    </w:p>
    <w:p w14:paraId="19F11A48">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69D2245B">
      <w:pPr>
        <w:pStyle w:val="4"/>
        <w:ind w:firstLine="560"/>
      </w:pPr>
      <w:r>
        <w:rPr>
          <w:rFonts w:hint="eastAsia"/>
        </w:rPr>
        <w:t>3.1.7具有良好商业信誉和健全的财务会计制度证明材料</w:t>
      </w:r>
    </w:p>
    <w:p w14:paraId="6188AB0F">
      <w:pPr>
        <w:ind w:firstLine="560" w:firstLineChars="200"/>
        <w:rPr>
          <w:rFonts w:ascii="仿宋" w:hAnsi="仿宋" w:eastAsia="仿宋"/>
          <w:sz w:val="28"/>
          <w:szCs w:val="28"/>
        </w:rPr>
      </w:pPr>
      <w:r>
        <w:rPr>
          <w:rFonts w:hint="eastAsia" w:ascii="仿宋" w:hAnsi="仿宋" w:eastAsia="仿宋"/>
          <w:sz w:val="28"/>
          <w:szCs w:val="28"/>
        </w:rPr>
        <w:t>注：提供</w:t>
      </w:r>
      <w:r>
        <w:rPr>
          <w:rFonts w:ascii="仿宋" w:hAnsi="仿宋" w:eastAsia="仿宋"/>
          <w:sz w:val="28"/>
          <w:szCs w:val="28"/>
        </w:rPr>
        <w:t>2024年度经会计师事务所审计的完整的财务审计报告或具有良好的商业信誉和健全的财务会计制度的承诺书（格式自拟）</w:t>
      </w:r>
    </w:p>
    <w:p w14:paraId="63566849">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1ED3D4C3">
      <w:pPr>
        <w:pStyle w:val="4"/>
        <w:ind w:firstLine="560"/>
      </w:pPr>
      <w:r>
        <w:rPr>
          <w:rFonts w:hint="eastAsia"/>
        </w:rPr>
        <w:t>3.1.8依法缴纳税收和社会保障资金的证明材料</w:t>
      </w:r>
    </w:p>
    <w:p w14:paraId="5BCC70BE">
      <w:pPr>
        <w:pStyle w:val="6"/>
        <w:spacing w:line="560" w:lineRule="exact"/>
        <w:ind w:firstLine="560" w:firstLineChars="200"/>
        <w:jc w:val="left"/>
        <w:rPr>
          <w:rFonts w:ascii="仿宋" w:hAnsi="仿宋"/>
          <w:bCs/>
          <w:color w:val="000000" w:themeColor="text1"/>
          <w:sz w:val="28"/>
          <w14:textFill>
            <w14:solidFill>
              <w14:schemeClr w14:val="tx1"/>
            </w14:solidFill>
          </w14:textFill>
        </w:rPr>
      </w:pPr>
      <w:r>
        <w:rPr>
          <w:rFonts w:hint="eastAsia" w:ascii="仿宋" w:hAnsi="仿宋"/>
          <w:bCs/>
          <w:color w:val="000000" w:themeColor="text1"/>
          <w:sz w:val="28"/>
          <w14:textFill>
            <w14:solidFill>
              <w14:schemeClr w14:val="tx1"/>
            </w14:solidFill>
          </w14:textFill>
        </w:rPr>
        <w:t>注：提供</w:t>
      </w:r>
      <w:r>
        <w:rPr>
          <w:rFonts w:ascii="仿宋" w:hAnsi="仿宋"/>
          <w:bCs/>
          <w:color w:val="000000" w:themeColor="text1"/>
          <w:sz w:val="28"/>
          <w14:textFill>
            <w14:solidFill>
              <w14:schemeClr w14:val="tx1"/>
            </w14:solidFill>
          </w14:textFill>
        </w:rPr>
        <w:t>2025</w:t>
      </w:r>
      <w:r>
        <w:rPr>
          <w:rFonts w:hint="eastAsia" w:ascii="仿宋" w:hAnsi="仿宋"/>
          <w:bCs/>
          <w:color w:val="000000" w:themeColor="text1"/>
          <w:sz w:val="28"/>
          <w14:textFill>
            <w14:solidFill>
              <w14:schemeClr w14:val="tx1"/>
            </w14:solidFill>
          </w14:textFill>
        </w:rPr>
        <w:t>年以来任意一个月缴纳社保和纳税的凭证或依法缴纳税收和社会保障资金的承诺书（格式自拟）</w:t>
      </w:r>
    </w:p>
    <w:p w14:paraId="7F6948B8">
      <w:pPr>
        <w:rPr>
          <w:rFonts w:ascii="宋体" w:hAnsi="宋体" w:eastAsia="仿宋"/>
          <w:b/>
          <w:bCs/>
          <w:color w:val="000000" w:themeColor="text1"/>
          <w:sz w:val="24"/>
          <w14:textFill>
            <w14:solidFill>
              <w14:schemeClr w14:val="tx1"/>
            </w14:solidFill>
          </w14:textFill>
        </w:rPr>
      </w:pPr>
    </w:p>
    <w:p w14:paraId="181CF445">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53F25A5E">
      <w:pPr>
        <w:pStyle w:val="4"/>
        <w:ind w:firstLine="560"/>
      </w:pPr>
      <w:r>
        <w:rPr>
          <w:rFonts w:hint="eastAsia"/>
        </w:rPr>
        <w:t>3.1.9参加采购活动前三年，在经营活动中没有重大违法记录的书面声明（格式自拟）</w:t>
      </w:r>
    </w:p>
    <w:p w14:paraId="4FE9632A">
      <w:pPr>
        <w:rPr>
          <w:rFonts w:ascii="宋体" w:hAnsi="宋体" w:eastAsia="仿宋"/>
          <w:b/>
          <w:bCs/>
          <w:color w:val="000000" w:themeColor="text1"/>
          <w:sz w:val="24"/>
          <w14:textFill>
            <w14:solidFill>
              <w14:schemeClr w14:val="tx1"/>
            </w14:solidFill>
          </w14:textFill>
        </w:rPr>
      </w:pPr>
    </w:p>
    <w:p w14:paraId="063EB14E">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4838B50A">
      <w:pPr>
        <w:pStyle w:val="3"/>
        <w:ind w:firstLine="562"/>
        <w:rPr>
          <w:rFonts w:ascii="仿宋" w:hAnsi="仿宋"/>
        </w:rPr>
      </w:pPr>
      <w:r>
        <w:rPr>
          <w:rFonts w:hint="eastAsia" w:ascii="仿宋" w:hAnsi="仿宋"/>
        </w:rPr>
        <w:t>3</w:t>
      </w:r>
      <w:r>
        <w:rPr>
          <w:rFonts w:ascii="仿宋" w:hAnsi="仿宋"/>
        </w:rPr>
        <w:t>.2</w:t>
      </w:r>
      <w:r>
        <w:rPr>
          <w:rFonts w:hint="eastAsia" w:ascii="仿宋" w:hAnsi="仿宋"/>
        </w:rPr>
        <w:t>投标人业绩</w:t>
      </w:r>
    </w:p>
    <w:p w14:paraId="6D524636">
      <w:pPr>
        <w:pStyle w:val="16"/>
        <w:ind w:left="696"/>
        <w:rPr>
          <w:rFonts w:ascii="宋体" w:hAnsi="宋体" w:eastAsia="仿宋"/>
          <w:b/>
          <w:bCs/>
          <w:color w:val="000000" w:themeColor="text1"/>
          <w:sz w:val="24"/>
          <w14:textFill>
            <w14:solidFill>
              <w14:schemeClr w14:val="tx1"/>
            </w14:solidFill>
          </w14:textFill>
        </w:rPr>
      </w:pPr>
    </w:p>
    <w:p w14:paraId="38BDF23A">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544FC9C7">
      <w:pPr>
        <w:pStyle w:val="3"/>
        <w:ind w:firstLine="562"/>
        <w:rPr>
          <w:rFonts w:ascii="仿宋" w:hAnsi="仿宋"/>
        </w:rPr>
      </w:pPr>
      <w:r>
        <w:rPr>
          <w:rFonts w:ascii="仿宋" w:hAnsi="仿宋"/>
        </w:rPr>
        <w:t>3.3</w:t>
      </w:r>
      <w:r>
        <w:rPr>
          <w:rFonts w:hint="eastAsia" w:ascii="仿宋" w:hAnsi="仿宋"/>
        </w:rPr>
        <w:t>其他材料</w:t>
      </w:r>
    </w:p>
    <w:p w14:paraId="361B4368">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6A7EB063">
      <w:pPr>
        <w:pStyle w:val="4"/>
        <w:ind w:firstLine="560"/>
      </w:pPr>
      <w:r>
        <w:rPr>
          <w:rFonts w:hint="eastAsia"/>
        </w:rPr>
        <w:t>3.5.1 中标服务费承诺书</w:t>
      </w:r>
    </w:p>
    <w:p w14:paraId="3786C8B3">
      <w:pPr>
        <w:pStyle w:val="6"/>
        <w:spacing w:before="468" w:beforeLines="150" w:line="560" w:lineRule="exact"/>
        <w:rPr>
          <w:rFonts w:ascii="仿宋" w:hAnsi="仿宋"/>
          <w:b/>
          <w:bCs/>
          <w:color w:val="000000" w:themeColor="text1"/>
          <w:sz w:val="28"/>
          <w:szCs w:val="28"/>
          <w14:textFill>
            <w14:solidFill>
              <w14:schemeClr w14:val="tx1"/>
            </w14:solidFill>
          </w14:textFill>
        </w:rPr>
      </w:pPr>
      <w:r>
        <w:rPr>
          <w:rFonts w:ascii="仿宋" w:hAnsi="仿宋"/>
          <w:b/>
          <w:bCs/>
          <w:color w:val="000000" w:themeColor="text1"/>
          <w:sz w:val="28"/>
          <w:szCs w:val="28"/>
          <w14:textFill>
            <w14:solidFill>
              <w14:schemeClr w14:val="tx1"/>
            </w14:solidFill>
          </w14:textFill>
        </w:rPr>
        <w:t>北京明世继元招标有限公司</w:t>
      </w:r>
      <w:r>
        <w:rPr>
          <w:rFonts w:hint="eastAsia" w:ascii="仿宋" w:hAnsi="仿宋"/>
          <w:b/>
          <w:bCs/>
          <w:color w:val="000000" w:themeColor="text1"/>
          <w:sz w:val="28"/>
          <w:szCs w:val="28"/>
          <w14:textFill>
            <w14:solidFill>
              <w14:schemeClr w14:val="tx1"/>
            </w14:solidFill>
          </w14:textFill>
        </w:rPr>
        <w:t>：</w:t>
      </w:r>
    </w:p>
    <w:p w14:paraId="48CE3C97">
      <w:pPr>
        <w:pStyle w:val="6"/>
        <w:spacing w:line="560" w:lineRule="exact"/>
        <w:ind w:firstLine="560"/>
        <w:rPr>
          <w:rFonts w:ascii="仿宋" w:hAnsi="仿宋"/>
          <w:bCs/>
          <w:color w:val="000000" w:themeColor="text1"/>
          <w:sz w:val="28"/>
          <w:szCs w:val="28"/>
          <w14:textFill>
            <w14:solidFill>
              <w14:schemeClr w14:val="tx1"/>
            </w14:solidFill>
          </w14:textFill>
        </w:rPr>
      </w:pPr>
      <w:r>
        <w:rPr>
          <w:rFonts w:ascii="仿宋" w:hAnsi="仿宋"/>
          <w:bCs/>
          <w:color w:val="000000" w:themeColor="text1"/>
          <w:sz w:val="28"/>
          <w:szCs w:val="28"/>
          <w14:textFill>
            <w14:solidFill>
              <w14:schemeClr w14:val="tx1"/>
            </w14:solidFill>
          </w14:textFill>
        </w:rPr>
        <w:t>在贵公司组织的</w:t>
      </w:r>
      <w:r>
        <w:rPr>
          <w:rFonts w:ascii="仿宋" w:hAnsi="仿宋"/>
          <w:bCs/>
          <w:color w:val="000000" w:themeColor="text1"/>
          <w:sz w:val="28"/>
          <w:szCs w:val="28"/>
          <w:u w:val="single"/>
          <w14:textFill>
            <w14:solidFill>
              <w14:schemeClr w14:val="tx1"/>
            </w14:solidFill>
          </w14:textFill>
        </w:rPr>
        <w:t xml:space="preserve">           </w:t>
      </w:r>
      <w:r>
        <w:rPr>
          <w:rFonts w:hint="eastAsia" w:ascii="仿宋" w:hAnsi="仿宋"/>
          <w:bCs/>
          <w:color w:val="000000" w:themeColor="text1"/>
          <w:sz w:val="28"/>
          <w:szCs w:val="28"/>
          <w:u w:val="single"/>
          <w14:textFill>
            <w14:solidFill>
              <w14:schemeClr w14:val="tx1"/>
            </w14:solidFill>
          </w14:textFill>
        </w:rPr>
        <w:t>（项目名称）</w:t>
      </w:r>
      <w:r>
        <w:rPr>
          <w:rFonts w:ascii="仿宋" w:hAnsi="仿宋"/>
          <w:bCs/>
          <w:color w:val="000000" w:themeColor="text1"/>
          <w:sz w:val="28"/>
          <w:szCs w:val="28"/>
          <w:u w:val="single"/>
          <w14:textFill>
            <w14:solidFill>
              <w14:schemeClr w14:val="tx1"/>
            </w14:solidFill>
          </w14:textFill>
        </w:rPr>
        <w:t xml:space="preserve">  </w:t>
      </w:r>
      <w:r>
        <w:rPr>
          <w:rFonts w:ascii="仿宋" w:hAnsi="仿宋"/>
          <w:bCs/>
          <w:color w:val="000000" w:themeColor="text1"/>
          <w:sz w:val="28"/>
          <w:szCs w:val="28"/>
          <w14:textFill>
            <w14:solidFill>
              <w14:schemeClr w14:val="tx1"/>
            </w14:solidFill>
          </w14:textFill>
        </w:rPr>
        <w:t>项目招标中我公司若中标（项目编号：</w:t>
      </w:r>
      <w:r>
        <w:rPr>
          <w:rFonts w:ascii="仿宋" w:hAnsi="仿宋"/>
          <w:bCs/>
          <w:color w:val="000000" w:themeColor="text1"/>
          <w:sz w:val="28"/>
          <w:szCs w:val="28"/>
          <w:u w:val="single"/>
          <w14:textFill>
            <w14:solidFill>
              <w14:schemeClr w14:val="tx1"/>
            </w14:solidFill>
          </w14:textFill>
        </w:rPr>
        <w:t xml:space="preserve">              </w:t>
      </w:r>
      <w:r>
        <w:rPr>
          <w:rFonts w:ascii="仿宋" w:hAnsi="仿宋"/>
          <w:bCs/>
          <w:color w:val="000000" w:themeColor="text1"/>
          <w:sz w:val="28"/>
          <w:szCs w:val="28"/>
          <w14:textFill>
            <w14:solidFill>
              <w14:schemeClr w14:val="tx1"/>
            </w14:solidFill>
          </w14:textFill>
        </w:rPr>
        <w:t>），我们保证在中标公告公示期满后5个工作日内按招标文件的规定，以汇票或汇款中的一种（由中标单位账户中汇出），向</w:t>
      </w:r>
      <w:r>
        <w:rPr>
          <w:rFonts w:hint="eastAsia" w:ascii="仿宋" w:hAnsi="仿宋"/>
          <w:bCs/>
          <w:color w:val="000000" w:themeColor="text1"/>
          <w:sz w:val="28"/>
          <w:szCs w:val="28"/>
          <w14:textFill>
            <w14:solidFill>
              <w14:schemeClr w14:val="tx1"/>
            </w14:solidFill>
          </w14:textFill>
        </w:rPr>
        <w:t>贵</w:t>
      </w:r>
      <w:r>
        <w:rPr>
          <w:rFonts w:ascii="仿宋" w:hAnsi="仿宋"/>
          <w:bCs/>
          <w:color w:val="000000" w:themeColor="text1"/>
          <w:sz w:val="28"/>
          <w:szCs w:val="28"/>
          <w14:textFill>
            <w14:solidFill>
              <w14:schemeClr w14:val="tx1"/>
            </w14:solidFill>
          </w14:textFill>
        </w:rPr>
        <w:t>公司支付中标服务费。</w:t>
      </w:r>
      <w:r>
        <w:rPr>
          <w:rFonts w:hint="eastAsia" w:ascii="仿宋" w:hAnsi="仿宋"/>
          <w:bCs/>
          <w:color w:val="000000" w:themeColor="text1"/>
          <w:sz w:val="28"/>
          <w:szCs w:val="28"/>
          <w14:textFill>
            <w14:solidFill>
              <w14:schemeClr w14:val="tx1"/>
            </w14:solidFill>
          </w14:textFill>
        </w:rPr>
        <w:t>我公司清楚的知道贵公司的如下信息：</w:t>
      </w:r>
    </w:p>
    <w:p w14:paraId="2AF74439">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开户名全称：北京明世继元招标有限公司</w:t>
      </w:r>
    </w:p>
    <w:p w14:paraId="6B01109A">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开户银行：中国民生银行北京广安门支行</w:t>
      </w:r>
    </w:p>
    <w:p w14:paraId="22E6D23E">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账  号：0117014170014132</w:t>
      </w:r>
    </w:p>
    <w:p w14:paraId="0C1C5664">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联系人：齐红艳</w:t>
      </w:r>
    </w:p>
    <w:p w14:paraId="362AE0D8">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联系电话:010-63341555</w:t>
      </w:r>
    </w:p>
    <w:p w14:paraId="26007FE2">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中标服务费按招标文件中的规定交纳。</w:t>
      </w:r>
    </w:p>
    <w:p w14:paraId="7C36CA87">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特此承诺！</w:t>
      </w:r>
    </w:p>
    <w:p w14:paraId="5D049D8B">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承诺方名称（公章）：</w:t>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p>
    <w:p w14:paraId="151CCB1E">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地址</w:t>
      </w:r>
      <w:r>
        <w:rPr>
          <w:rFonts w:hint="eastAsia" w:ascii="仿宋" w:hAnsi="仿宋" w:eastAsia="仿宋"/>
          <w:bCs/>
          <w:color w:val="000000" w:themeColor="text1"/>
          <w:sz w:val="28"/>
          <w:szCs w:val="28"/>
          <w:u w:val="single"/>
          <w14:textFill>
            <w14:solidFill>
              <w14:schemeClr w14:val="tx1"/>
            </w14:solidFill>
          </w14:textFill>
        </w:rPr>
        <w:t>：</w:t>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p>
    <w:p w14:paraId="0CA90DC7">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电话：</w:t>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14:textFill>
            <w14:solidFill>
              <w14:schemeClr w14:val="tx1"/>
            </w14:solidFill>
          </w14:textFill>
        </w:rPr>
        <w:t>传真：</w:t>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p>
    <w:p w14:paraId="4C823088">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电子邮箱：</w:t>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14:textFill>
            <w14:solidFill>
              <w14:schemeClr w14:val="tx1"/>
            </w14:solidFill>
          </w14:textFill>
        </w:rPr>
        <w:t>邮编：</w:t>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p>
    <w:p w14:paraId="398CB5D0">
      <w:pPr>
        <w:spacing w:after="0"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承诺方法定代表人或被授权人签字：</w:t>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ab/>
      </w:r>
      <w:r>
        <w:rPr>
          <w:rFonts w:hint="eastAsia" w:ascii="仿宋" w:hAnsi="仿宋" w:eastAsia="仿宋"/>
          <w:bCs/>
          <w:color w:val="000000" w:themeColor="text1"/>
          <w:sz w:val="28"/>
          <w:szCs w:val="28"/>
          <w:u w:val="single"/>
          <w14:textFill>
            <w14:solidFill>
              <w14:schemeClr w14:val="tx1"/>
            </w14:solidFill>
          </w14:textFill>
        </w:rPr>
        <w:t>（承诺方盖章）</w:t>
      </w:r>
    </w:p>
    <w:p w14:paraId="6627AF52">
      <w:pPr>
        <w:pStyle w:val="6"/>
        <w:spacing w:line="560" w:lineRule="exact"/>
        <w:ind w:firstLine="560" w:firstLineChars="200"/>
        <w:rPr>
          <w:rFonts w:ascii="宋体" w:hAnsi="宋体"/>
          <w:b/>
          <w:bCs/>
          <w:color w:val="000000" w:themeColor="text1"/>
          <w14:textFill>
            <w14:solidFill>
              <w14:schemeClr w14:val="tx1"/>
            </w14:solidFill>
          </w14:textFill>
        </w:rPr>
      </w:pPr>
      <w:r>
        <w:rPr>
          <w:rFonts w:hint="eastAsia" w:ascii="仿宋" w:hAnsi="仿宋"/>
          <w:bCs/>
          <w:color w:val="000000" w:themeColor="text1"/>
          <w:sz w:val="28"/>
          <w:szCs w:val="28"/>
          <w14:textFill>
            <w14:solidFill>
              <w14:schemeClr w14:val="tx1"/>
            </w14:solidFill>
          </w14:textFill>
        </w:rPr>
        <w:t>承诺日期：</w:t>
      </w:r>
      <w:r>
        <w:rPr>
          <w:rFonts w:hint="eastAsia" w:ascii="宋体" w:hAnsi="宋体"/>
          <w:b/>
          <w:bCs/>
          <w:color w:val="000000" w:themeColor="text1"/>
          <w:u w:val="single"/>
          <w14:textFill>
            <w14:solidFill>
              <w14:schemeClr w14:val="tx1"/>
            </w14:solidFill>
          </w14:textFill>
        </w:rPr>
        <w:tab/>
      </w:r>
      <w:r>
        <w:rPr>
          <w:rFonts w:hint="eastAsia" w:ascii="宋体" w:hAnsi="宋体"/>
          <w:b/>
          <w:bCs/>
          <w:color w:val="000000" w:themeColor="text1"/>
          <w:u w:val="single"/>
          <w14:textFill>
            <w14:solidFill>
              <w14:schemeClr w14:val="tx1"/>
            </w14:solidFill>
          </w14:textFill>
        </w:rPr>
        <w:tab/>
      </w:r>
      <w:r>
        <w:rPr>
          <w:rFonts w:hint="eastAsia" w:ascii="宋体" w:hAnsi="宋体"/>
          <w:b/>
          <w:bCs/>
          <w:color w:val="000000" w:themeColor="text1"/>
          <w:u w:val="single"/>
          <w14:textFill>
            <w14:solidFill>
              <w14:schemeClr w14:val="tx1"/>
            </w14:solidFill>
          </w14:textFill>
        </w:rPr>
        <w:tab/>
      </w:r>
      <w:r>
        <w:rPr>
          <w:rFonts w:hint="eastAsia" w:ascii="宋体" w:hAnsi="宋体"/>
          <w:b/>
          <w:bCs/>
          <w:color w:val="000000" w:themeColor="text1"/>
          <w:u w:val="single"/>
          <w14:textFill>
            <w14:solidFill>
              <w14:schemeClr w14:val="tx1"/>
            </w14:solidFill>
          </w14:textFill>
        </w:rPr>
        <w:tab/>
      </w:r>
      <w:r>
        <w:rPr>
          <w:rFonts w:hint="eastAsia" w:ascii="宋体" w:hAnsi="宋体"/>
          <w:b/>
          <w:bCs/>
          <w:color w:val="000000" w:themeColor="text1"/>
          <w:u w:val="single"/>
          <w14:textFill>
            <w14:solidFill>
              <w14:schemeClr w14:val="tx1"/>
            </w14:solidFill>
          </w14:textFill>
        </w:rPr>
        <w:tab/>
      </w:r>
      <w:r>
        <w:rPr>
          <w:rFonts w:hint="eastAsia" w:ascii="宋体" w:hAnsi="宋体"/>
          <w:b/>
          <w:bCs/>
          <w:color w:val="000000" w:themeColor="text1"/>
          <w:u w:val="single"/>
          <w14:textFill>
            <w14:solidFill>
              <w14:schemeClr w14:val="tx1"/>
            </w14:solidFill>
          </w14:textFill>
        </w:rPr>
        <w:tab/>
      </w:r>
    </w:p>
    <w:p w14:paraId="40C63EAB">
      <w:pPr>
        <w:widowControl/>
        <w:rPr>
          <w:rFonts w:ascii="宋体" w:hAnsi="宋体" w:eastAsia="仿宋"/>
          <w:b/>
          <w:bCs/>
          <w:color w:val="000000" w:themeColor="text1"/>
          <w:sz w:val="24"/>
          <w14:textFill>
            <w14:solidFill>
              <w14:schemeClr w14:val="tx1"/>
            </w14:solidFill>
          </w14:textFill>
        </w:rPr>
      </w:pPr>
      <w:r>
        <w:rPr>
          <w:rFonts w:hint="eastAsia" w:ascii="宋体" w:hAnsi="宋体" w:eastAsia="仿宋"/>
          <w:b/>
          <w:bCs/>
          <w:color w:val="000000" w:themeColor="text1"/>
          <w:sz w:val="24"/>
          <w14:textFill>
            <w14:solidFill>
              <w14:schemeClr w14:val="tx1"/>
            </w14:solidFill>
          </w14:textFill>
        </w:rPr>
        <w:br w:type="page"/>
      </w:r>
    </w:p>
    <w:p w14:paraId="483D015D">
      <w:pPr>
        <w:pStyle w:val="4"/>
        <w:ind w:firstLine="560"/>
      </w:pPr>
      <w:r>
        <w:rPr>
          <w:rFonts w:hint="eastAsia"/>
        </w:rPr>
        <w:t>3.5.2 投标保证金退款信息函</w:t>
      </w:r>
    </w:p>
    <w:p w14:paraId="7D7A02E7">
      <w:pPr>
        <w:pStyle w:val="6"/>
        <w:spacing w:before="468" w:beforeLines="150" w:line="560" w:lineRule="exact"/>
        <w:rPr>
          <w:rFonts w:ascii="仿宋" w:hAnsi="仿宋"/>
          <w:b/>
          <w:bCs/>
          <w:color w:val="000000" w:themeColor="text1"/>
          <w:sz w:val="28"/>
          <w:szCs w:val="28"/>
          <w14:textFill>
            <w14:solidFill>
              <w14:schemeClr w14:val="tx1"/>
            </w14:solidFill>
          </w14:textFill>
        </w:rPr>
      </w:pPr>
      <w:r>
        <w:rPr>
          <w:rFonts w:hint="eastAsia" w:ascii="仿宋" w:hAnsi="仿宋"/>
          <w:b/>
          <w:bCs/>
          <w:color w:val="000000" w:themeColor="text1"/>
          <w:sz w:val="28"/>
          <w:szCs w:val="28"/>
          <w14:textFill>
            <w14:solidFill>
              <w14:schemeClr w14:val="tx1"/>
            </w14:solidFill>
          </w14:textFill>
        </w:rPr>
        <w:t>北京明世继元招标有限公司：</w:t>
      </w:r>
    </w:p>
    <w:p w14:paraId="4CCE630F">
      <w:pPr>
        <w:spacing w:after="0"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我公司于</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日参加了你公司组织的</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（项目名称）</w:t>
      </w:r>
      <w:r>
        <w:rPr>
          <w:rFonts w:hint="eastAsia" w:ascii="仿宋" w:hAnsi="仿宋" w:eastAsia="仿宋"/>
          <w:color w:val="000000" w:themeColor="text1"/>
          <w:sz w:val="28"/>
          <w:szCs w:val="28"/>
          <w14:textFill>
            <w14:solidFill>
              <w14:schemeClr w14:val="tx1"/>
            </w14:solidFill>
          </w14:textFill>
        </w:rPr>
        <w:t>采购项目（项目编号：</w:t>
      </w:r>
      <w:r>
        <w:rPr>
          <w:rFonts w:ascii="Calibri" w:hAnsi="Calibri" w:eastAsia="仿宋" w:cs="Calibri"/>
          <w:color w:val="000000" w:themeColor="text1"/>
          <w:sz w:val="28"/>
          <w:szCs w:val="28"/>
          <w:u w:val="single"/>
          <w14:textFill>
            <w14:solidFill>
              <w14:schemeClr w14:val="tx1"/>
            </w14:solidFill>
          </w14:textFill>
        </w:rPr>
        <w:t>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），并于</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日以</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方式递交了</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元整（</w:t>
      </w:r>
      <w:r>
        <w:rPr>
          <w:rFonts w:ascii="Calibri" w:hAnsi="Calibri" w:eastAsia="仿宋" w:cs="Calibri"/>
          <w:color w:val="000000" w:themeColor="text1"/>
          <w:sz w:val="28"/>
          <w:szCs w:val="28"/>
          <w14:textFill>
            <w14:solidFill>
              <w14:schemeClr w14:val="tx1"/>
            </w14:solidFill>
          </w14:textFill>
        </w:rPr>
        <w:t>¥</w:t>
      </w:r>
      <w:r>
        <w:rPr>
          <w:rFonts w:ascii="Calibri" w:hAnsi="Calibri" w:eastAsia="仿宋" w:cs="Calibri"/>
          <w:color w:val="000000" w:themeColor="text1"/>
          <w:sz w:val="28"/>
          <w:szCs w:val="28"/>
          <w:u w:val="single"/>
          <w14:textFill>
            <w14:solidFill>
              <w14:schemeClr w14:val="tx1"/>
            </w14:solidFill>
          </w14:textFill>
        </w:rPr>
        <w:t>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）的投标保证金。</w:t>
      </w:r>
    </w:p>
    <w:p w14:paraId="24BB1C21">
      <w:pPr>
        <w:spacing w:after="0"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请按招标文件规定，届时将我公司上述项目的投标保证金原路退还至我公司。递交投标保证金账户信息如下：</w:t>
      </w:r>
    </w:p>
    <w:p w14:paraId="3932E41F">
      <w:pPr>
        <w:spacing w:after="0"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开户单位全称：</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r>
        <w:rPr>
          <w:rFonts w:ascii="Calibri" w:hAnsi="Calibri" w:eastAsia="仿宋" w:cs="Calibri"/>
          <w:color w:val="000000" w:themeColor="text1"/>
          <w:sz w:val="28"/>
          <w:szCs w:val="28"/>
          <w:u w:val="single"/>
          <w14:textFill>
            <w14:solidFill>
              <w14:schemeClr w14:val="tx1"/>
            </w14:solidFill>
          </w14:textFill>
        </w:rPr>
        <w:t>      </w:t>
      </w:r>
      <w:r>
        <w:rPr>
          <w:rFonts w:ascii="仿宋" w:hAnsi="仿宋" w:eastAsia="仿宋"/>
          <w:color w:val="000000" w:themeColor="text1"/>
          <w:sz w:val="28"/>
          <w:szCs w:val="28"/>
          <w:u w:val="single"/>
          <w14:textFill>
            <w14:solidFill>
              <w14:schemeClr w14:val="tx1"/>
            </w14:solidFill>
          </w14:textFill>
        </w:rPr>
        <w:t xml:space="preserve">      </w:t>
      </w:r>
      <w:r>
        <w:rPr>
          <w:rFonts w:ascii="Calibri" w:hAnsi="Calibri" w:eastAsia="仿宋" w:cs="Calibri"/>
          <w:color w:val="000000" w:themeColor="text1"/>
          <w:sz w:val="28"/>
          <w:szCs w:val="28"/>
          <w:u w:val="single"/>
          <w14:textFill>
            <w14:solidFill>
              <w14:schemeClr w14:val="tx1"/>
            </w14:solidFill>
          </w14:textFill>
        </w:rPr>
        <w:t>         </w:t>
      </w:r>
    </w:p>
    <w:p w14:paraId="706653B3">
      <w:pPr>
        <w:spacing w:after="0"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开户银行名称：</w:t>
      </w:r>
      <w:r>
        <w:rPr>
          <w:rFonts w:ascii="Calibri" w:hAnsi="Calibri" w:eastAsia="仿宋" w:cs="Calibri"/>
          <w:color w:val="000000" w:themeColor="text1"/>
          <w:sz w:val="28"/>
          <w:szCs w:val="28"/>
          <w:u w:val="single"/>
          <w14:textFill>
            <w14:solidFill>
              <w14:schemeClr w14:val="tx1"/>
            </w14:solidFill>
          </w14:textFill>
        </w:rPr>
        <w:t>                             </w:t>
      </w:r>
      <w:r>
        <w:rPr>
          <w:rFonts w:ascii="仿宋" w:hAnsi="仿宋" w:eastAsia="仿宋"/>
          <w:color w:val="000000" w:themeColor="text1"/>
          <w:sz w:val="28"/>
          <w:szCs w:val="28"/>
          <w:u w:val="single"/>
          <w14:textFill>
            <w14:solidFill>
              <w14:schemeClr w14:val="tx1"/>
            </w14:solidFill>
          </w14:textFill>
        </w:rPr>
        <w:t xml:space="preserve">      </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p>
    <w:p w14:paraId="20A5DD16">
      <w:pPr>
        <w:spacing w:after="0"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开户银行行号：</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r>
        <w:rPr>
          <w:rFonts w:ascii="Calibri" w:hAnsi="Calibri" w:eastAsia="仿宋" w:cs="Calibri"/>
          <w:color w:val="000000" w:themeColor="text1"/>
          <w:sz w:val="28"/>
          <w:szCs w:val="28"/>
          <w:u w:val="single"/>
          <w14:textFill>
            <w14:solidFill>
              <w14:schemeClr w14:val="tx1"/>
            </w14:solidFill>
          </w14:textFill>
        </w:rPr>
        <w:t>    </w:t>
      </w:r>
      <w:r>
        <w:rPr>
          <w:rFonts w:ascii="仿宋" w:hAnsi="仿宋" w:eastAsia="仿宋"/>
          <w:color w:val="000000" w:themeColor="text1"/>
          <w:sz w:val="28"/>
          <w:szCs w:val="28"/>
          <w:u w:val="single"/>
          <w14:textFill>
            <w14:solidFill>
              <w14:schemeClr w14:val="tx1"/>
            </w14:solidFill>
          </w14:textFill>
        </w:rPr>
        <w:t xml:space="preserve">      </w:t>
      </w:r>
      <w:r>
        <w:rPr>
          <w:rFonts w:ascii="Calibri" w:hAnsi="Calibri" w:eastAsia="仿宋" w:cs="Calibri"/>
          <w:color w:val="000000" w:themeColor="text1"/>
          <w:sz w:val="28"/>
          <w:szCs w:val="28"/>
          <w:u w:val="single"/>
          <w14:textFill>
            <w14:solidFill>
              <w14:schemeClr w14:val="tx1"/>
            </w14:solidFill>
          </w14:textFill>
        </w:rPr>
        <w:t>           </w:t>
      </w:r>
    </w:p>
    <w:p w14:paraId="161F4D91">
      <w:pPr>
        <w:spacing w:after="0"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开户银行账号：</w:t>
      </w:r>
      <w:r>
        <w:rPr>
          <w:rFonts w:ascii="Calibri" w:hAnsi="Calibri" w:eastAsia="仿宋" w:cs="Calibri"/>
          <w:color w:val="000000" w:themeColor="text1"/>
          <w:sz w:val="28"/>
          <w:szCs w:val="28"/>
          <w:u w:val="single"/>
          <w14:textFill>
            <w14:solidFill>
              <w14:schemeClr w14:val="tx1"/>
            </w14:solidFill>
          </w14:textFill>
        </w:rPr>
        <w:t>                       </w:t>
      </w:r>
      <w:r>
        <w:rPr>
          <w:rFonts w:hint="eastAsia" w:ascii="仿宋" w:hAnsi="仿宋" w:eastAsia="仿宋"/>
          <w:color w:val="000000" w:themeColor="text1"/>
          <w:sz w:val="28"/>
          <w:szCs w:val="28"/>
          <w:u w:val="single"/>
          <w14:textFill>
            <w14:solidFill>
              <w14:schemeClr w14:val="tx1"/>
            </w14:solidFill>
          </w14:textFill>
        </w:rPr>
        <w:t xml:space="preserve"> </w:t>
      </w:r>
      <w:r>
        <w:rPr>
          <w:rFonts w:ascii="Calibri" w:hAnsi="Calibri" w:eastAsia="仿宋" w:cs="Calibri"/>
          <w:color w:val="000000" w:themeColor="text1"/>
          <w:sz w:val="28"/>
          <w:szCs w:val="28"/>
          <w:u w:val="single"/>
          <w14:textFill>
            <w14:solidFill>
              <w14:schemeClr w14:val="tx1"/>
            </w14:solidFill>
          </w14:textFill>
        </w:rPr>
        <w:t>             </w:t>
      </w:r>
      <w:r>
        <w:rPr>
          <w:rFonts w:ascii="仿宋" w:hAnsi="仿宋" w:eastAsia="仿宋"/>
          <w:color w:val="000000" w:themeColor="text1"/>
          <w:sz w:val="28"/>
          <w:szCs w:val="28"/>
          <w:u w:val="single"/>
          <w14:textFill>
            <w14:solidFill>
              <w14:schemeClr w14:val="tx1"/>
            </w14:solidFill>
          </w14:textFill>
        </w:rPr>
        <w:t xml:space="preserve"> </w:t>
      </w:r>
      <w:r>
        <w:rPr>
          <w:rFonts w:ascii="Calibri" w:hAnsi="Calibri" w:eastAsia="仿宋" w:cs="Calibri"/>
          <w:color w:val="000000" w:themeColor="text1"/>
          <w:sz w:val="28"/>
          <w:szCs w:val="28"/>
          <w:u w:val="single"/>
          <w14:textFill>
            <w14:solidFill>
              <w14:schemeClr w14:val="tx1"/>
            </w14:solidFill>
          </w14:textFill>
        </w:rPr>
        <w:t>  </w:t>
      </w:r>
      <w:r>
        <w:rPr>
          <w:rFonts w:ascii="仿宋" w:hAnsi="仿宋" w:eastAsia="仿宋"/>
          <w:color w:val="000000" w:themeColor="text1"/>
          <w:sz w:val="28"/>
          <w:szCs w:val="28"/>
          <w:u w:val="single"/>
          <w14:textFill>
            <w14:solidFill>
              <w14:schemeClr w14:val="tx1"/>
            </w14:solidFill>
          </w14:textFill>
        </w:rPr>
        <w:t xml:space="preserve">     </w:t>
      </w:r>
    </w:p>
    <w:p w14:paraId="49EF6C79">
      <w:pPr>
        <w:pStyle w:val="6"/>
        <w:spacing w:line="560" w:lineRule="exact"/>
        <w:ind w:firstLine="560" w:firstLineChars="200"/>
        <w:rPr>
          <w:rFonts w:ascii="仿宋" w:hAnsi="仿宋"/>
          <w:color w:val="000000" w:themeColor="text1"/>
          <w:sz w:val="28"/>
          <w:szCs w:val="28"/>
          <w14:textFill>
            <w14:solidFill>
              <w14:schemeClr w14:val="tx1"/>
            </w14:solidFill>
          </w14:textFill>
        </w:rPr>
      </w:pPr>
      <w:r>
        <w:rPr>
          <w:rFonts w:hint="eastAsia" w:ascii="仿宋" w:hAnsi="仿宋" w:cs="Arial"/>
          <w:color w:val="000000" w:themeColor="text1"/>
          <w:sz w:val="28"/>
          <w:szCs w:val="28"/>
          <w14:textFill>
            <w14:solidFill>
              <w14:schemeClr w14:val="tx1"/>
            </w14:solidFill>
          </w14:textFill>
        </w:rPr>
        <w:t>联系人及联系电话</w:t>
      </w:r>
      <w:r>
        <w:rPr>
          <w:rFonts w:hint="eastAsia" w:ascii="仿宋" w:hAnsi="仿宋"/>
          <w:color w:val="000000" w:themeColor="text1"/>
          <w:sz w:val="28"/>
          <w:szCs w:val="28"/>
          <w14:textFill>
            <w14:solidFill>
              <w14:schemeClr w14:val="tx1"/>
            </w14:solidFill>
          </w14:textFill>
        </w:rPr>
        <w:t>：</w:t>
      </w:r>
      <w:r>
        <w:rPr>
          <w:rFonts w:ascii="Calibri" w:hAnsi="Calibri" w:cs="Calibri"/>
          <w:color w:val="000000" w:themeColor="text1"/>
          <w:sz w:val="28"/>
          <w:szCs w:val="28"/>
          <w:u w:val="single"/>
          <w14:textFill>
            <w14:solidFill>
              <w14:schemeClr w14:val="tx1"/>
            </w14:solidFill>
          </w14:textFill>
        </w:rPr>
        <w:t>                      </w:t>
      </w:r>
      <w:r>
        <w:rPr>
          <w:rFonts w:hint="eastAsia" w:ascii="仿宋" w:hAnsi="仿宋"/>
          <w:color w:val="000000" w:themeColor="text1"/>
          <w:sz w:val="28"/>
          <w:szCs w:val="28"/>
          <w:u w:val="single"/>
          <w14:textFill>
            <w14:solidFill>
              <w14:schemeClr w14:val="tx1"/>
            </w14:solidFill>
          </w14:textFill>
        </w:rPr>
        <w:t xml:space="preserve"> </w:t>
      </w:r>
      <w:r>
        <w:rPr>
          <w:rFonts w:ascii="Calibri" w:hAnsi="Calibri" w:cs="Calibri"/>
          <w:color w:val="000000" w:themeColor="text1"/>
          <w:sz w:val="28"/>
          <w:szCs w:val="28"/>
          <w:u w:val="single"/>
          <w14:textFill>
            <w14:solidFill>
              <w14:schemeClr w14:val="tx1"/>
            </w14:solidFill>
          </w14:textFill>
        </w:rPr>
        <w:t>        </w:t>
      </w:r>
      <w:r>
        <w:rPr>
          <w:rFonts w:ascii="仿宋" w:hAnsi="仿宋"/>
          <w:color w:val="000000" w:themeColor="text1"/>
          <w:sz w:val="28"/>
          <w:szCs w:val="28"/>
          <w:u w:val="single"/>
          <w14:textFill>
            <w14:solidFill>
              <w14:schemeClr w14:val="tx1"/>
            </w14:solidFill>
          </w14:textFill>
        </w:rPr>
        <w:t xml:space="preserve">    </w:t>
      </w:r>
      <w:r>
        <w:rPr>
          <w:rFonts w:ascii="Calibri" w:hAnsi="Calibri" w:cs="Calibri"/>
          <w:color w:val="000000" w:themeColor="text1"/>
          <w:sz w:val="28"/>
          <w:szCs w:val="28"/>
          <w:u w:val="single"/>
          <w14:textFill>
            <w14:solidFill>
              <w14:schemeClr w14:val="tx1"/>
            </w14:solidFill>
          </w14:textFill>
        </w:rPr>
        <w:t>    </w:t>
      </w:r>
      <w:r>
        <w:rPr>
          <w:rFonts w:ascii="Calibri" w:hAnsi="Calibri" w:cs="Calibri"/>
          <w:color w:val="000000" w:themeColor="text1"/>
          <w:sz w:val="28"/>
          <w:szCs w:val="28"/>
          <w14:textFill>
            <w14:solidFill>
              <w14:schemeClr w14:val="tx1"/>
            </w14:solidFill>
          </w14:textFill>
        </w:rPr>
        <w:t> </w:t>
      </w:r>
    </w:p>
    <w:p w14:paraId="01212BA9">
      <w:pPr>
        <w:spacing w:after="0" w:line="5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投标人名称（盖章）：</w:t>
      </w:r>
      <w:r>
        <w:rPr>
          <w:rFonts w:hint="eastAsia" w:ascii="仿宋" w:hAnsi="仿宋" w:eastAsia="仿宋" w:cs="Arial"/>
          <w:color w:val="000000" w:themeColor="text1"/>
          <w:sz w:val="28"/>
          <w:szCs w:val="28"/>
          <w:u w:val="single"/>
          <w14:textFill>
            <w14:solidFill>
              <w14:schemeClr w14:val="tx1"/>
            </w14:solidFill>
          </w14:textFill>
        </w:rPr>
        <w:t xml:space="preserve">                     </w:t>
      </w:r>
    </w:p>
    <w:p w14:paraId="7094B3BB">
      <w:pPr>
        <w:spacing w:after="0" w:line="560" w:lineRule="exact"/>
        <w:ind w:firstLine="560" w:firstLineChars="200"/>
        <w:rPr>
          <w:rFonts w:ascii="宋体" w:hAnsi="宋体"/>
          <w:color w:val="000000" w:themeColor="text1"/>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日期：</w:t>
      </w:r>
      <w:r>
        <w:rPr>
          <w:rFonts w:hint="eastAsia" w:ascii="仿宋" w:hAnsi="仿宋" w:eastAsia="仿宋" w:cs="Arial"/>
          <w:color w:val="000000" w:themeColor="text1"/>
          <w:sz w:val="28"/>
          <w:szCs w:val="28"/>
          <w:u w:val="single"/>
          <w14:textFill>
            <w14:solidFill>
              <w14:schemeClr w14:val="tx1"/>
            </w14:solidFill>
          </w14:textFill>
        </w:rPr>
        <w:t xml:space="preserve">                                  </w:t>
      </w:r>
    </w:p>
    <w:p w14:paraId="7714998F">
      <w:pPr>
        <w:rPr>
          <w:color w:val="000000" w:themeColor="text1"/>
          <w14:textFill>
            <w14:solidFill>
              <w14:schemeClr w14:val="tx1"/>
            </w14:solidFill>
          </w14:textFill>
        </w:rPr>
      </w:pPr>
    </w:p>
    <w:p w14:paraId="2F6DD78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FF0E2">
    <w:pPr>
      <w:pStyle w:val="10"/>
      <w:jc w:val="center"/>
    </w:pPr>
  </w:p>
  <w:p w14:paraId="33D2CBD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8208459"/>
      <w:docPartObj>
        <w:docPartGallery w:val="autotext"/>
      </w:docPartObj>
    </w:sdtPr>
    <w:sdtContent>
      <w:p w14:paraId="4B952219">
        <w:pPr>
          <w:pStyle w:val="10"/>
          <w:jc w:val="center"/>
        </w:pPr>
        <w:r>
          <w:fldChar w:fldCharType="begin"/>
        </w:r>
        <w:r>
          <w:instrText xml:space="preserve">PAGE   \* MERGEFORMAT</w:instrText>
        </w:r>
        <w:r>
          <w:fldChar w:fldCharType="separate"/>
        </w:r>
        <w:r>
          <w:rPr>
            <w:lang w:val="zh-CN"/>
          </w:rPr>
          <w:t>1</w:t>
        </w:r>
        <w:r>
          <w:fldChar w:fldCharType="end"/>
        </w:r>
      </w:p>
    </w:sdtContent>
  </w:sdt>
  <w:p w14:paraId="58155185">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8770F"/>
    <w:multiLevelType w:val="multilevel"/>
    <w:tmpl w:val="0A18770F"/>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0CCE79DD"/>
    <w:multiLevelType w:val="multilevel"/>
    <w:tmpl w:val="0CCE79DD"/>
    <w:lvl w:ilvl="0" w:tentative="0">
      <w:start w:val="1"/>
      <w:numFmt w:val="decimal"/>
      <w:lvlText w:val="%1"/>
      <w:lvlJc w:val="left"/>
      <w:pPr>
        <w:ind w:left="456" w:hanging="45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
    <w:nsid w:val="1A486EBD"/>
    <w:multiLevelType w:val="multilevel"/>
    <w:tmpl w:val="1A486EBD"/>
    <w:lvl w:ilvl="0" w:tentative="0">
      <w:start w:val="1"/>
      <w:numFmt w:val="japaneseCounting"/>
      <w:lvlText w:val="第%1章"/>
      <w:lvlJc w:val="left"/>
      <w:pPr>
        <w:ind w:left="1680" w:hanging="16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4E51A15"/>
    <w:multiLevelType w:val="multilevel"/>
    <w:tmpl w:val="24E51A15"/>
    <w:lvl w:ilvl="0" w:tentative="0">
      <w:start w:val="1"/>
      <w:numFmt w:val="japaneseCounting"/>
      <w:lvlText w:val="第%1章"/>
      <w:lvlJc w:val="left"/>
      <w:pPr>
        <w:ind w:left="1680" w:hanging="16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8F81A92"/>
    <w:multiLevelType w:val="singleLevel"/>
    <w:tmpl w:val="38F81A92"/>
    <w:lvl w:ilvl="0" w:tentative="0">
      <w:start w:val="1"/>
      <w:numFmt w:val="chineseCounting"/>
      <w:suff w:val="nothing"/>
      <w:lvlText w:val="%1、"/>
      <w:lvlJc w:val="left"/>
      <w:rPr>
        <w:rFonts w:hint="eastAsia"/>
      </w:rPr>
    </w:lvl>
  </w:abstractNum>
  <w:abstractNum w:abstractNumId="5">
    <w:nsid w:val="48760F75"/>
    <w:multiLevelType w:val="multilevel"/>
    <w:tmpl w:val="48760F75"/>
    <w:lvl w:ilvl="0" w:tentative="0">
      <w:start w:val="1"/>
      <w:numFmt w:val="japaneseCounting"/>
      <w:lvlText w:val="（%1）"/>
      <w:lvlJc w:val="left"/>
      <w:pPr>
        <w:ind w:left="1152" w:hanging="720"/>
      </w:pPr>
      <w:rPr>
        <w:rFonts w:hint="default"/>
      </w:rPr>
    </w:lvl>
    <w:lvl w:ilvl="1" w:tentative="0">
      <w:start w:val="1"/>
      <w:numFmt w:val="decimal"/>
      <w:lvlText w:val="%2）"/>
      <w:lvlJc w:val="left"/>
      <w:pPr>
        <w:ind w:left="1592" w:hanging="720"/>
      </w:pPr>
      <w:rPr>
        <w:rFonts w:hint="default"/>
      </w:rPr>
    </w:lvl>
    <w:lvl w:ilvl="2" w:tentative="0">
      <w:start w:val="1"/>
      <w:numFmt w:val="lowerRoman"/>
      <w:lvlText w:val="%3."/>
      <w:lvlJc w:val="right"/>
      <w:pPr>
        <w:ind w:left="1752" w:hanging="440"/>
      </w:pPr>
    </w:lvl>
    <w:lvl w:ilvl="3" w:tentative="0">
      <w:start w:val="1"/>
      <w:numFmt w:val="decimal"/>
      <w:lvlText w:val="%4."/>
      <w:lvlJc w:val="left"/>
      <w:pPr>
        <w:ind w:left="2192" w:hanging="440"/>
      </w:pPr>
    </w:lvl>
    <w:lvl w:ilvl="4" w:tentative="0">
      <w:start w:val="1"/>
      <w:numFmt w:val="lowerLetter"/>
      <w:lvlText w:val="%5)"/>
      <w:lvlJc w:val="left"/>
      <w:pPr>
        <w:ind w:left="2632" w:hanging="440"/>
      </w:pPr>
    </w:lvl>
    <w:lvl w:ilvl="5" w:tentative="0">
      <w:start w:val="1"/>
      <w:numFmt w:val="lowerRoman"/>
      <w:lvlText w:val="%6."/>
      <w:lvlJc w:val="right"/>
      <w:pPr>
        <w:ind w:left="3072" w:hanging="440"/>
      </w:pPr>
    </w:lvl>
    <w:lvl w:ilvl="6" w:tentative="0">
      <w:start w:val="1"/>
      <w:numFmt w:val="decimal"/>
      <w:lvlText w:val="%7."/>
      <w:lvlJc w:val="left"/>
      <w:pPr>
        <w:ind w:left="3512" w:hanging="440"/>
      </w:pPr>
    </w:lvl>
    <w:lvl w:ilvl="7" w:tentative="0">
      <w:start w:val="1"/>
      <w:numFmt w:val="lowerLetter"/>
      <w:lvlText w:val="%8)"/>
      <w:lvlJc w:val="left"/>
      <w:pPr>
        <w:ind w:left="3952" w:hanging="440"/>
      </w:pPr>
    </w:lvl>
    <w:lvl w:ilvl="8" w:tentative="0">
      <w:start w:val="1"/>
      <w:numFmt w:val="lowerRoman"/>
      <w:lvlText w:val="%9."/>
      <w:lvlJc w:val="right"/>
      <w:pPr>
        <w:ind w:left="4392" w:hanging="440"/>
      </w:pPr>
    </w:lvl>
  </w:abstractNum>
  <w:abstractNum w:abstractNumId="6">
    <w:nsid w:val="5643759C"/>
    <w:multiLevelType w:val="singleLevel"/>
    <w:tmpl w:val="5643759C"/>
    <w:lvl w:ilvl="0" w:tentative="0">
      <w:start w:val="2"/>
      <w:numFmt w:val="decimal"/>
      <w:suff w:val="nothing"/>
      <w:lvlText w:val="%1、"/>
      <w:lvlJc w:val="left"/>
      <w:pPr>
        <w:ind w:left="1120" w:firstLine="0"/>
      </w:pPr>
    </w:lvl>
  </w:abstractNum>
  <w:num w:numId="1">
    <w:abstractNumId w:val="5"/>
  </w:num>
  <w:num w:numId="2">
    <w:abstractNumId w:val="4"/>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E3F60"/>
    <w:rsid w:val="1AF35E37"/>
    <w:rsid w:val="5A83793E"/>
    <w:rsid w:val="5AEC5645"/>
    <w:rsid w:val="6945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qFormat/>
    <w:uiPriority w:val="9"/>
    <w:pPr>
      <w:keepNext/>
      <w:keepLines/>
      <w:spacing w:before="480" w:after="80"/>
      <w:jc w:val="center"/>
      <w:outlineLvl w:val="0"/>
    </w:pPr>
    <w:rPr>
      <w:rFonts w:eastAsia="黑体" w:asciiTheme="majorHAnsi" w:hAnsiTheme="majorHAnsi" w:cstheme="majorBidi"/>
      <w:sz w:val="32"/>
      <w:szCs w:val="48"/>
    </w:rPr>
  </w:style>
  <w:style w:type="paragraph" w:styleId="3">
    <w:name w:val="heading 2"/>
    <w:basedOn w:val="1"/>
    <w:next w:val="1"/>
    <w:unhideWhenUsed/>
    <w:qFormat/>
    <w:uiPriority w:val="9"/>
    <w:pPr>
      <w:keepNext/>
      <w:keepLines/>
      <w:spacing w:after="0" w:line="560" w:lineRule="exact"/>
      <w:ind w:firstLine="200" w:firstLineChars="200"/>
      <w:outlineLvl w:val="1"/>
    </w:pPr>
    <w:rPr>
      <w:rFonts w:eastAsia="仿宋" w:asciiTheme="majorHAnsi" w:hAnsiTheme="majorHAnsi" w:cstheme="majorBidi"/>
      <w:b/>
      <w:color w:val="000000" w:themeColor="text1"/>
      <w:sz w:val="28"/>
      <w:szCs w:val="40"/>
      <w14:textFill>
        <w14:solidFill>
          <w14:schemeClr w14:val="tx1"/>
        </w14:solidFill>
      </w14:textFill>
    </w:rPr>
  </w:style>
  <w:style w:type="paragraph" w:styleId="4">
    <w:name w:val="heading 3"/>
    <w:basedOn w:val="1"/>
    <w:next w:val="1"/>
    <w:unhideWhenUsed/>
    <w:qFormat/>
    <w:uiPriority w:val="9"/>
    <w:pPr>
      <w:keepNext/>
      <w:keepLines/>
      <w:spacing w:after="0" w:line="560" w:lineRule="exact"/>
      <w:ind w:firstLine="200" w:firstLineChars="200"/>
      <w:outlineLvl w:val="2"/>
    </w:pPr>
    <w:rPr>
      <w:rFonts w:eastAsia="仿宋" w:asciiTheme="majorHAnsi" w:hAnsiTheme="majorHAnsi" w:cstheme="majorBidi"/>
      <w:color w:val="000000" w:themeColor="text1"/>
      <w:sz w:val="28"/>
      <w:szCs w:val="32"/>
      <w14:textFill>
        <w14:solidFill>
          <w14:schemeClr w14:val="tx1"/>
        </w14:solidFill>
      </w14:textFill>
    </w:rPr>
  </w:style>
  <w:style w:type="paragraph" w:styleId="5">
    <w:name w:val="heading 4"/>
    <w:basedOn w:val="1"/>
    <w:next w:val="1"/>
    <w:unhideWhenUsed/>
    <w:qFormat/>
    <w:uiPriority w:val="9"/>
    <w:pPr>
      <w:keepNext/>
      <w:keepLines/>
      <w:spacing w:after="0" w:line="560" w:lineRule="exact"/>
      <w:ind w:firstLine="200" w:firstLineChars="200"/>
      <w:outlineLvl w:val="3"/>
    </w:pPr>
    <w:rPr>
      <w:rFonts w:eastAsia="仿宋" w:cstheme="majorBidi"/>
      <w:color w:val="000000" w:themeColor="text1"/>
      <w:sz w:val="28"/>
      <w:szCs w:val="28"/>
      <w14:textFill>
        <w14:solidFill>
          <w14:schemeClr w14:val="tx1"/>
        </w14:solidFill>
      </w14:textFill>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spacing w:after="0" w:line="360" w:lineRule="auto"/>
      <w:jc w:val="both"/>
    </w:pPr>
    <w:rPr>
      <w:rFonts w:eastAsia="仿宋"/>
      <w:sz w:val="24"/>
    </w:rPr>
  </w:style>
  <w:style w:type="paragraph" w:styleId="7">
    <w:name w:val="toa heading"/>
    <w:basedOn w:val="1"/>
    <w:next w:val="1"/>
    <w:qFormat/>
    <w:uiPriority w:val="99"/>
    <w:pPr>
      <w:spacing w:before="120" w:after="0" w:line="360" w:lineRule="auto"/>
      <w:jc w:val="both"/>
    </w:pPr>
    <w:rPr>
      <w:rFonts w:ascii="Cambria" w:hAnsi="Cambria" w:eastAsia="仿宋" w:cs="宋体"/>
      <w:sz w:val="24"/>
      <w14:ligatures w14:val="none"/>
    </w:rPr>
  </w:style>
  <w:style w:type="paragraph" w:styleId="8">
    <w:name w:val="annotation text"/>
    <w:basedOn w:val="1"/>
    <w:unhideWhenUsed/>
    <w:qFormat/>
    <w:uiPriority w:val="99"/>
  </w:style>
  <w:style w:type="paragraph" w:styleId="9">
    <w:name w:val="Body Text"/>
    <w:basedOn w:val="1"/>
    <w:qFormat/>
    <w:uiPriority w:val="1"/>
    <w:pPr>
      <w:spacing w:after="0" w:line="360" w:lineRule="auto"/>
      <w:jc w:val="both"/>
    </w:pPr>
    <w:rPr>
      <w:rFonts w:ascii="宋体" w:hAnsi="宋体" w:eastAsia="宋体" w:cs="宋体"/>
      <w:sz w:val="24"/>
      <w14:ligatures w14:val="none"/>
    </w:rPr>
  </w:style>
  <w:style w:type="paragraph" w:styleId="10">
    <w:name w:val="footer"/>
    <w:basedOn w:val="1"/>
    <w:unhideWhenUsed/>
    <w:qFormat/>
    <w:uiPriority w:val="99"/>
    <w:pPr>
      <w:tabs>
        <w:tab w:val="center" w:pos="4153"/>
        <w:tab w:val="right" w:pos="8306"/>
      </w:tabs>
      <w:snapToGrid w:val="0"/>
      <w:spacing w:line="240" w:lineRule="auto"/>
    </w:pPr>
    <w:rPr>
      <w:sz w:val="18"/>
      <w:szCs w:val="18"/>
    </w:rPr>
  </w:style>
  <w:style w:type="paragraph" w:styleId="11">
    <w:name w:val="toc 1"/>
    <w:basedOn w:val="1"/>
    <w:next w:val="1"/>
    <w:unhideWhenUsed/>
    <w:qFormat/>
    <w:uiPriority w:val="39"/>
    <w:pPr>
      <w:tabs>
        <w:tab w:val="right" w:leader="dot" w:pos="8302"/>
      </w:tabs>
      <w:spacing w:after="0" w:line="360" w:lineRule="auto"/>
      <w:jc w:val="both"/>
    </w:pPr>
    <w:rPr>
      <w:rFonts w:ascii="黑体" w:hAnsi="黑体" w:eastAsia="黑体" w:cs="Times New Roman"/>
      <w:sz w:val="24"/>
      <w14:ligatures w14:val="none"/>
    </w:rPr>
  </w:style>
  <w:style w:type="table" w:styleId="13">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OC Heading"/>
    <w:basedOn w:val="2"/>
    <w:next w:val="1"/>
    <w:unhideWhenUsed/>
    <w:qFormat/>
    <w:uiPriority w:val="39"/>
    <w:pPr>
      <w:widowControl/>
      <w:spacing w:before="240" w:after="0" w:line="259" w:lineRule="auto"/>
      <w:outlineLvl w:val="9"/>
    </w:pPr>
    <w:rPr>
      <w:kern w:val="0"/>
      <w:szCs w:val="32"/>
      <w14:ligatures w14:val="none"/>
    </w:rPr>
  </w:style>
  <w:style w:type="paragraph" w:styleId="16">
    <w:name w:val="List Paragraph"/>
    <w:basedOn w:val="1"/>
    <w:qFormat/>
    <w:uiPriority w:val="1"/>
    <w:pPr>
      <w:ind w:left="720"/>
      <w:contextualSpacing/>
    </w:pPr>
  </w:style>
  <w:style w:type="paragraph" w:customStyle="1" w:styleId="17">
    <w:name w:val="1."/>
    <w:autoRedefine/>
    <w:qFormat/>
    <w:uiPriority w:val="0"/>
    <w:pPr>
      <w:widowControl w:val="0"/>
      <w:wordWrap w:val="0"/>
      <w:spacing w:after="0" w:line="240" w:lineRule="auto"/>
      <w:outlineLvl w:val="3"/>
    </w:pPr>
    <w:rPr>
      <w:rFonts w:ascii="仿宋_GB2312" w:hAnsi="Calibri" w:eastAsia="仿宋_GB2312" w:cstheme="minorBidi"/>
      <w:bCs/>
      <w:kern w:val="2"/>
      <w:sz w:val="28"/>
      <w:szCs w:val="28"/>
      <w:lang w:val="en-US" w:eastAsia="zh-CN" w:bidi="ar-SA"/>
      <w14:ligatures w14:val="standardContextual"/>
    </w:rPr>
  </w:style>
  <w:style w:type="paragraph" w:customStyle="1" w:styleId="18">
    <w:name w:val="文本"/>
    <w:autoRedefine/>
    <w:qFormat/>
    <w:uiPriority w:val="0"/>
    <w:pPr>
      <w:widowControl w:val="0"/>
      <w:wordWrap w:val="0"/>
      <w:spacing w:after="0" w:line="360" w:lineRule="auto"/>
      <w:ind w:firstLine="200" w:firstLineChars="200"/>
    </w:pPr>
    <w:rPr>
      <w:rFonts w:hint="eastAsia" w:ascii="仿宋_GB2312" w:eastAsia="仿宋_GB2312" w:hAnsiTheme="minorHAnsi" w:cstheme="minorBidi"/>
      <w:kern w:val="2"/>
      <w:sz w:val="28"/>
      <w:szCs w:val="24"/>
      <w:lang w:val="en-US" w:eastAsia="zh-CN" w:bidi="ar-SA"/>
      <w14:ligatures w14:val="standardContextual"/>
    </w:rPr>
  </w:style>
  <w:style w:type="paragraph" w:customStyle="1" w:styleId="19">
    <w:name w:val="正文1"/>
    <w:qFormat/>
    <w:uiPriority w:val="0"/>
    <w:pPr>
      <w:spacing w:after="0" w:line="240" w:lineRule="auto"/>
      <w:jc w:val="both"/>
    </w:pPr>
    <w:rPr>
      <w:rFonts w:ascii="Times New Roman" w:hAnsi="Times New Roman" w:eastAsia="宋体" w:cs="Times New Roman"/>
      <w:kern w:val="0"/>
      <w:sz w:val="21"/>
      <w:szCs w:val="20"/>
      <w:lang w:val="en-US" w:eastAsia="zh-CN" w:bidi="ar-SA"/>
      <w14:ligatures w14:val="none"/>
    </w:rPr>
  </w:style>
  <w:style w:type="paragraph" w:customStyle="1" w:styleId="20">
    <w:name w:val="Table Paragraph"/>
    <w:basedOn w:val="1"/>
    <w:qFormat/>
    <w:uiPriority w:val="1"/>
    <w:pPr>
      <w:spacing w:after="0" w:line="360" w:lineRule="auto"/>
      <w:jc w:val="both"/>
    </w:pPr>
    <w:rPr>
      <w:rFonts w:ascii="宋体" w:hAnsi="宋体" w:eastAsia="宋体" w:cs="宋体"/>
      <w:sz w:val="21"/>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2875</Words>
  <Characters>3103</Characters>
  <Lines>0</Lines>
  <Paragraphs>0</Paragraphs>
  <TotalTime>10</TotalTime>
  <ScaleCrop>false</ScaleCrop>
  <LinksUpToDate>false</LinksUpToDate>
  <CharactersWithSpaces>3196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2025-12-05T07:07:00Z</dcterms:created>
  <dc:creator>王新然</dc:creator>
  <cp:lastModifiedBy>然</cp:lastModifiedBy>
  <dcterms:modified xsi:type="dcterms:W3CDTF">2025-12-05T07:36:05Z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eyJoZGlkIjoiMWI0YjRhODg1ZjY1ODNjNjFlYmE4ZWEwYmNjZWYxMmQiLCJ1c2VySWQiOiI0ODc2MTM1NjEifQ==</vt:lpwstr>
  </property>
  <property fmtid="{D5CDD505-2E9C-101B-9397-08002B2CF9AE}" pid="4" name="ICV">
    <vt:lpwstr>2CE3C81A71CD4822B91D978AC865D924_12</vt:lpwstr>
  </property>
</Properties>
</file>