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745D">
      <w:pPr>
        <w:pStyle w:val="14"/>
        <w:widowControl/>
        <w:shd w:val="clear" w:color="auto" w:fill="FFFFFF"/>
        <w:spacing w:before="0" w:beforeAutospacing="0" w:after="0" w:afterAutospacing="0" w:line="360" w:lineRule="auto"/>
        <w:ind w:left="510"/>
        <w:jc w:val="center"/>
        <w:rPr>
          <w:rFonts w:hint="eastAsia" w:ascii="方正小标宋简体" w:hAnsi="宋体" w:eastAsia="方正小标宋简体" w:cs="宋体"/>
          <w:sz w:val="36"/>
          <w:szCs w:val="36"/>
        </w:rPr>
      </w:pPr>
      <w:bookmarkStart w:id="8" w:name="_GoBack"/>
      <w:bookmarkEnd w:id="8"/>
      <w:r>
        <w:rPr>
          <w:rFonts w:hint="eastAsia" w:ascii="方正小标宋简体" w:hAnsi="宋体" w:eastAsia="方正小标宋简体" w:cs="宋体"/>
          <w:sz w:val="36"/>
          <w:szCs w:val="36"/>
          <w:lang w:val="en-US" w:eastAsia="zh-CN"/>
        </w:rPr>
        <w:t>赤峰市</w:t>
      </w:r>
      <w:r>
        <w:rPr>
          <w:rFonts w:hint="eastAsia" w:ascii="方正小标宋简体" w:hAnsi="宋体" w:eastAsia="方正小标宋简体" w:cs="宋体"/>
          <w:sz w:val="36"/>
          <w:szCs w:val="36"/>
        </w:rPr>
        <w:t>公立医院绩效考核监测与分析平台</w:t>
      </w:r>
    </w:p>
    <w:p w14:paraId="73193071">
      <w:pPr>
        <w:pStyle w:val="14"/>
        <w:widowControl/>
        <w:shd w:val="clear" w:color="auto" w:fill="FFFFFF"/>
        <w:spacing w:before="0" w:beforeAutospacing="0" w:after="0" w:afterAutospacing="0" w:line="360" w:lineRule="auto"/>
        <w:ind w:left="510"/>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项目参数</w:t>
      </w:r>
    </w:p>
    <w:p w14:paraId="22E6A270">
      <w:pPr>
        <w:spacing w:line="360" w:lineRule="auto"/>
        <w:ind w:left="420" w:leftChars="200" w:firstLine="0" w:firstLineChars="0"/>
        <w:rPr>
          <w:rFonts w:ascii="黑体" w:hAnsi="黑体" w:eastAsia="黑体"/>
          <w:sz w:val="28"/>
          <w:szCs w:val="28"/>
        </w:rPr>
      </w:pPr>
    </w:p>
    <w:p w14:paraId="24D096D7">
      <w:pPr>
        <w:spacing w:line="360" w:lineRule="auto"/>
        <w:ind w:left="420" w:leftChars="200" w:firstLine="0" w:firstLineChars="0"/>
        <w:rPr>
          <w:rFonts w:hint="eastAsia" w:ascii="黑体" w:hAnsi="黑体" w:eastAsia="黑体"/>
          <w:sz w:val="28"/>
          <w:szCs w:val="28"/>
        </w:rPr>
      </w:pPr>
      <w:r>
        <w:rPr>
          <w:rFonts w:ascii="黑体" w:hAnsi="黑体" w:eastAsia="黑体"/>
          <w:sz w:val="28"/>
          <w:szCs w:val="28"/>
        </w:rPr>
        <w:t>一、项目概述</w:t>
      </w:r>
      <w:r>
        <w:rPr>
          <w:rFonts w:ascii="黑体" w:hAnsi="黑体" w:eastAsia="黑体"/>
          <w:sz w:val="28"/>
          <w:szCs w:val="28"/>
        </w:rPr>
        <w:br w:type="textWrapping"/>
      </w:r>
      <w:r>
        <w:t>  </w:t>
      </w:r>
      <w:r>
        <w:rPr>
          <w:rFonts w:hint="eastAsia"/>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ascii="仿宋" w:hAnsi="仿宋" w:eastAsia="仿宋"/>
          <w:sz w:val="24"/>
          <w:szCs w:val="24"/>
        </w:rPr>
        <w:t>为深入贯彻《国务院办公厅关于加强公立医院绩效考核工作的意见》（国办发〔2019〕4</w:t>
      </w:r>
      <w:r>
        <w:rPr>
          <w:rFonts w:ascii="Calibri" w:hAnsi="Calibri" w:eastAsia="仿宋" w:cs="Calibri"/>
          <w:sz w:val="24"/>
          <w:szCs w:val="24"/>
        </w:rPr>
        <w:t> </w:t>
      </w:r>
      <w:r>
        <w:rPr>
          <w:rFonts w:ascii="仿宋" w:hAnsi="仿宋" w:eastAsia="仿宋"/>
          <w:sz w:val="24"/>
          <w:szCs w:val="24"/>
        </w:rPr>
        <w:t>号）要求，响应</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十四五”</w:t>
      </w:r>
      <w:r>
        <w:rPr>
          <w:rFonts w:ascii="Calibri" w:hAnsi="Calibri" w:eastAsia="仿宋" w:cs="Calibri"/>
          <w:sz w:val="24"/>
          <w:szCs w:val="24"/>
        </w:rPr>
        <w:t> </w:t>
      </w:r>
      <w:r>
        <w:rPr>
          <w:rFonts w:ascii="仿宋" w:hAnsi="仿宋" w:eastAsia="仿宋"/>
          <w:sz w:val="24"/>
          <w:szCs w:val="24"/>
        </w:rPr>
        <w:t>时期国家全民健康信息化建设部署，落实党的二十大精神与中央决策部署，结合医院高质量发展需求，需以信息化为核心依托，推动公立医院绩效考核监测工作规范化、标准化、同质化，全面提升绩效考核效能与医院绩效管理水平。各地卫健委加强公立医院绩效考核监测，是深化医药卫生体制改革的重点任务，既关乎医院高质量发展与治理现代化水平，也直接影响患者就医体验及人民群众获得感、安全感、幸福感。</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按卫健委核心质控指标要求，通过动态监测、预警及深度对比，助力医疗机构精准识别短板、落实整改举措，推进医疗质量安全持续提升与改进闭环管理，客观评价医院质量安全状况、定位薄弱环节，切实体现卫健委对关键指标实时监控、早识风险的要求。本平台需助力卫健委实现以下目标：</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深化数据分析与洞察，整合多源数据并系统呈现分析维度，为地市卫健委监督、管理公立医院绩效考核提供可视化数据支撑</w:t>
      </w:r>
      <w:r>
        <w:rPr>
          <w:rFonts w:hint="eastAsia" w:ascii="仿宋" w:hAnsi="仿宋" w:eastAsia="仿宋"/>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支持多医院统筹管理与权限分级配置，实现数据一键便捷上传</w:t>
      </w:r>
      <w:r>
        <w:rPr>
          <w:rFonts w:hint="eastAsia" w:ascii="仿宋" w:hAnsi="仿宋" w:eastAsia="仿宋"/>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构建指标拆解、数据监测分析体系，支撑医疗机构开展院内日常监测与自评</w:t>
      </w:r>
      <w:r>
        <w:rPr>
          <w:rFonts w:hint="eastAsia" w:ascii="仿宋" w:hAnsi="仿宋" w:eastAsia="仿宋"/>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针对二、三级（专科）医院绩效考核开展专项监测与分析。</w:t>
      </w:r>
      <w:r>
        <w:rPr>
          <w:rFonts w:ascii="仿宋" w:hAnsi="仿宋" w:eastAsia="仿宋"/>
          <w:sz w:val="24"/>
          <w:szCs w:val="24"/>
        </w:rPr>
        <w:br w:type="textWrapping"/>
      </w:r>
      <w:r>
        <w:rPr>
          <w:rFonts w:hint="eastAsia" w:ascii="黑体" w:hAnsi="黑体" w:eastAsia="黑体"/>
          <w:sz w:val="28"/>
          <w:szCs w:val="28"/>
        </w:rPr>
        <w:t>二、技术参数</w:t>
      </w:r>
    </w:p>
    <w:p w14:paraId="375F4E13">
      <w:pPr>
        <w:pStyle w:val="31"/>
        <w:numPr>
          <w:ilvl w:val="0"/>
          <w:numId w:val="1"/>
        </w:numPr>
        <w:spacing w:line="360" w:lineRule="auto"/>
        <w:rPr>
          <w:rFonts w:hint="eastAsia" w:ascii="仿宋" w:hAnsi="仿宋" w:eastAsia="仿宋"/>
          <w:b/>
          <w:bCs/>
          <w:sz w:val="24"/>
          <w:szCs w:val="24"/>
        </w:rPr>
      </w:pPr>
      <w:r>
        <w:rPr>
          <w:rFonts w:ascii="仿宋" w:hAnsi="仿宋" w:eastAsia="仿宋"/>
          <w:b/>
          <w:bCs/>
          <w:sz w:val="24"/>
          <w:szCs w:val="24"/>
        </w:rPr>
        <w:t>总体要求</w:t>
      </w:r>
    </w:p>
    <w:p w14:paraId="2654DBEA">
      <w:pPr>
        <w:spacing w:line="360" w:lineRule="auto"/>
        <w:ind w:firstLine="480" w:firstLineChars="200"/>
        <w:rPr>
          <w:rFonts w:hint="eastAsia" w:ascii="仿宋" w:hAnsi="仿宋" w:eastAsia="仿宋"/>
          <w:b/>
          <w:bCs/>
          <w:sz w:val="24"/>
          <w:szCs w:val="24"/>
        </w:rPr>
      </w:pPr>
      <w:r>
        <w:rPr>
          <w:rFonts w:ascii="仿宋" w:hAnsi="仿宋" w:eastAsia="仿宋"/>
          <w:sz w:val="24"/>
          <w:szCs w:val="24"/>
        </w:rPr>
        <w:t>为满足卫生健康委员会（以下简称</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卫健委”）对二十家二三级（</w:t>
      </w:r>
      <w:r>
        <w:rPr>
          <w:rFonts w:hint="eastAsia" w:ascii="仿宋" w:hAnsi="仿宋" w:eastAsia="仿宋"/>
          <w:sz w:val="24"/>
          <w:szCs w:val="24"/>
          <w:lang w:val="en-US" w:eastAsia="zh-CN"/>
        </w:rPr>
        <w:t>综合、</w:t>
      </w:r>
      <w:r>
        <w:rPr>
          <w:rFonts w:ascii="仿宋" w:hAnsi="仿宋" w:eastAsia="仿宋"/>
          <w:sz w:val="24"/>
          <w:szCs w:val="24"/>
        </w:rPr>
        <w:t>专科）公立医院绩效考核的工作要求，相关信息系统建设需遵循以下总体要求：</w:t>
      </w:r>
      <w:r>
        <w:rPr>
          <w:rFonts w:ascii="仿宋" w:hAnsi="仿宋" w:eastAsia="仿宋"/>
          <w:sz w:val="24"/>
          <w:szCs w:val="24"/>
        </w:rPr>
        <w:br w:type="textWrapping"/>
      </w:r>
      <w:r>
        <w:rPr>
          <w:rFonts w:hint="eastAsia" w:ascii="仿宋" w:hAnsi="仿宋" w:eastAsia="仿宋"/>
          <w:sz w:val="24"/>
          <w:szCs w:val="24"/>
        </w:rPr>
        <w:t xml:space="preserve"> </w:t>
      </w:r>
      <w:r>
        <w:rPr>
          <w:rFonts w:hint="eastAsia" w:ascii="仿宋" w:hAnsi="仿宋" w:eastAsia="仿宋"/>
          <w:b/>
          <w:bCs/>
          <w:sz w:val="24"/>
          <w:szCs w:val="24"/>
        </w:rPr>
        <w:t xml:space="preserve">  1.1.</w:t>
      </w:r>
      <w:r>
        <w:rPr>
          <w:rFonts w:ascii="仿宋" w:hAnsi="仿宋" w:eastAsia="仿宋"/>
          <w:b/>
          <w:bCs/>
          <w:sz w:val="24"/>
          <w:szCs w:val="24"/>
        </w:rPr>
        <w:t>权限管理与数据展示适配</w:t>
      </w:r>
    </w:p>
    <w:p w14:paraId="3895AB67">
      <w:pPr>
        <w:spacing w:line="360" w:lineRule="auto"/>
        <w:ind w:firstLine="480" w:firstLineChars="200"/>
        <w:rPr>
          <w:rFonts w:hint="eastAsia" w:ascii="仿宋" w:hAnsi="仿宋" w:eastAsia="仿宋"/>
          <w:b/>
          <w:bCs/>
          <w:sz w:val="24"/>
          <w:szCs w:val="24"/>
        </w:rPr>
      </w:pPr>
      <w:r>
        <w:rPr>
          <w:rFonts w:ascii="仿宋" w:hAnsi="仿宋" w:eastAsia="仿宋"/>
          <w:sz w:val="24"/>
          <w:szCs w:val="24"/>
        </w:rPr>
        <w:t>系统需构建精细化权限划分机制，用户登录后可依据其身份自动判定权限等级，页面核心数据指标展示需实现多维度适配</w:t>
      </w:r>
      <w:r>
        <w:rPr>
          <w:rFonts w:ascii="Calibri" w:hAnsi="Calibri" w:eastAsia="仿宋" w:cs="Calibri"/>
          <w:sz w:val="24"/>
          <w:szCs w:val="24"/>
        </w:rPr>
        <w:t> </w:t>
      </w:r>
      <w:r>
        <w:rPr>
          <w:rFonts w:hint="eastAsia" w:ascii="仿宋" w:hAnsi="仿宋" w:eastAsia="仿宋" w:cs="仿宋"/>
          <w:sz w:val="24"/>
          <w:szCs w:val="24"/>
        </w:rPr>
        <w:t>——</w:t>
      </w:r>
      <w:r>
        <w:rPr>
          <w:rFonts w:ascii="Calibri" w:hAnsi="Calibri" w:eastAsia="仿宋" w:cs="Calibri"/>
          <w:sz w:val="24"/>
          <w:szCs w:val="24"/>
        </w:rPr>
        <w:t> </w:t>
      </w:r>
      <w:r>
        <w:rPr>
          <w:rFonts w:ascii="仿宋" w:hAnsi="仿宋" w:eastAsia="仿宋"/>
          <w:sz w:val="24"/>
          <w:szCs w:val="24"/>
        </w:rPr>
        <w:t>既要满足地市卫健委监管视角需求，也要区分三级综合医院、二级综合医院及专科医院的差异，支持不同主体间的指标对比分析与多维度数据联动查询，确保数据展示的针对性与实用性。</w:t>
      </w:r>
      <w:r>
        <w:rPr>
          <w:rFonts w:ascii="仿宋" w:hAnsi="仿宋" w:eastAsia="仿宋"/>
          <w:sz w:val="24"/>
          <w:szCs w:val="24"/>
        </w:rPr>
        <w:br w:type="textWrapping"/>
      </w:r>
      <w:r>
        <w:rPr>
          <w:rFonts w:hint="eastAsia" w:ascii="仿宋" w:hAnsi="仿宋" w:eastAsia="仿宋"/>
          <w:b/>
          <w:bCs/>
          <w:sz w:val="24"/>
          <w:szCs w:val="24"/>
        </w:rPr>
        <w:t xml:space="preserve">    1.2.</w:t>
      </w:r>
      <w:r>
        <w:rPr>
          <w:rFonts w:ascii="仿宋" w:hAnsi="仿宋" w:eastAsia="仿宋"/>
          <w:b/>
          <w:bCs/>
          <w:sz w:val="24"/>
          <w:szCs w:val="24"/>
        </w:rPr>
        <w:t>指标导出与运营适配</w:t>
      </w:r>
    </w:p>
    <w:p w14:paraId="477A328C">
      <w:pPr>
        <w:spacing w:line="360" w:lineRule="auto"/>
        <w:ind w:firstLine="480" w:firstLineChars="200"/>
        <w:rPr>
          <w:rFonts w:hint="eastAsia" w:ascii="仿宋" w:hAnsi="仿宋" w:eastAsia="仿宋"/>
          <w:sz w:val="24"/>
          <w:szCs w:val="24"/>
        </w:rPr>
      </w:pPr>
      <w:r>
        <w:rPr>
          <w:rFonts w:ascii="仿宋" w:hAnsi="仿宋" w:eastAsia="仿宋"/>
          <w:sz w:val="24"/>
          <w:szCs w:val="24"/>
        </w:rPr>
        <w:t>系统需支持同一考核指标在二</w:t>
      </w:r>
      <w:r>
        <w:rPr>
          <w:rFonts w:hint="eastAsia" w:ascii="仿宋" w:hAnsi="仿宋" w:eastAsia="仿宋"/>
          <w:sz w:val="24"/>
          <w:szCs w:val="24"/>
          <w:lang w:eastAsia="zh-CN"/>
        </w:rPr>
        <w:t>、</w:t>
      </w:r>
      <w:r>
        <w:rPr>
          <w:rFonts w:ascii="仿宋" w:hAnsi="仿宋" w:eastAsia="仿宋"/>
          <w:sz w:val="24"/>
          <w:szCs w:val="24"/>
        </w:rPr>
        <w:t>三级（</w:t>
      </w:r>
      <w:r>
        <w:rPr>
          <w:rFonts w:hint="eastAsia" w:ascii="仿宋" w:hAnsi="仿宋" w:eastAsia="仿宋"/>
          <w:sz w:val="24"/>
          <w:szCs w:val="24"/>
          <w:lang w:val="en-US" w:eastAsia="zh-CN"/>
        </w:rPr>
        <w:t>综合、</w:t>
      </w:r>
      <w:r>
        <w:rPr>
          <w:rFonts w:ascii="仿宋" w:hAnsi="仿宋" w:eastAsia="仿宋"/>
          <w:sz w:val="24"/>
          <w:szCs w:val="24"/>
        </w:rPr>
        <w:t>专科）医院范围内的统一展示，并提供</w:t>
      </w:r>
      <w:r>
        <w:rPr>
          <w:rFonts w:ascii="Calibri" w:hAnsi="Calibri" w:eastAsia="仿宋" w:cs="Calibri"/>
          <w:sz w:val="24"/>
          <w:szCs w:val="24"/>
        </w:rPr>
        <w:t> </w:t>
      </w:r>
      <w:r>
        <w:rPr>
          <w:rFonts w:ascii="仿宋" w:hAnsi="仿宋" w:eastAsia="仿宋"/>
          <w:sz w:val="24"/>
          <w:szCs w:val="24"/>
        </w:rPr>
        <w:t>Excel</w:t>
      </w:r>
      <w:r>
        <w:rPr>
          <w:rFonts w:ascii="Calibri" w:hAnsi="Calibri" w:eastAsia="仿宋" w:cs="Calibri"/>
          <w:sz w:val="24"/>
          <w:szCs w:val="24"/>
        </w:rPr>
        <w:t> </w:t>
      </w:r>
      <w:r>
        <w:rPr>
          <w:rFonts w:ascii="仿宋" w:hAnsi="仿宋" w:eastAsia="仿宋"/>
          <w:sz w:val="24"/>
          <w:szCs w:val="24"/>
        </w:rPr>
        <w:t>格式数据导出功能；所有展示指标需严格契合卫健委对公立医院运营管理的核心需求，为运营决策提供数据支撑。</w:t>
      </w:r>
      <w:r>
        <w:rPr>
          <w:rFonts w:ascii="仿宋" w:hAnsi="仿宋" w:eastAsia="仿宋"/>
          <w:sz w:val="24"/>
          <w:szCs w:val="24"/>
        </w:rPr>
        <w:br w:type="textWrapping"/>
      </w:r>
      <w:r>
        <w:rPr>
          <w:rFonts w:hint="eastAsia" w:ascii="仿宋" w:hAnsi="仿宋" w:eastAsia="仿宋"/>
          <w:b/>
          <w:bCs/>
          <w:sz w:val="24"/>
          <w:szCs w:val="24"/>
        </w:rPr>
        <w:t xml:space="preserve">   1.3.</w:t>
      </w:r>
      <w:r>
        <w:rPr>
          <w:rFonts w:ascii="仿宋" w:hAnsi="仿宋" w:eastAsia="仿宋"/>
          <w:b/>
          <w:bCs/>
          <w:sz w:val="24"/>
          <w:szCs w:val="24"/>
        </w:rPr>
        <w:t>绩效考核指</w:t>
      </w:r>
      <w:r>
        <w:rPr>
          <w:rFonts w:ascii="仿宋" w:hAnsi="仿宋" w:eastAsia="仿宋"/>
          <w:b/>
          <w:bCs/>
          <w:color w:val="auto"/>
          <w:sz w:val="24"/>
          <w:szCs w:val="24"/>
        </w:rPr>
        <w:t>标</w:t>
      </w:r>
      <w:r>
        <w:rPr>
          <w:rFonts w:hint="eastAsia" w:ascii="仿宋" w:hAnsi="仿宋" w:eastAsia="仿宋"/>
          <w:b/>
          <w:bCs/>
          <w:color w:val="0000FF"/>
          <w:sz w:val="24"/>
          <w:szCs w:val="24"/>
          <w:lang w:val="en-US" w:eastAsia="zh-CN"/>
        </w:rPr>
        <w:t>监</w:t>
      </w:r>
      <w:r>
        <w:rPr>
          <w:rFonts w:ascii="仿宋" w:hAnsi="仿宋" w:eastAsia="仿宋"/>
          <w:b/>
          <w:bCs/>
          <w:color w:val="0000FF"/>
          <w:sz w:val="24"/>
          <w:szCs w:val="24"/>
        </w:rPr>
        <w:t>测分析</w:t>
      </w:r>
    </w:p>
    <w:p w14:paraId="69EFE6E9">
      <w:pPr>
        <w:spacing w:line="360" w:lineRule="auto"/>
        <w:ind w:firstLine="480" w:firstLineChars="200"/>
        <w:rPr>
          <w:rFonts w:hint="eastAsia" w:ascii="仿宋" w:hAnsi="仿宋" w:eastAsia="仿宋"/>
          <w:b/>
          <w:bCs/>
          <w:sz w:val="24"/>
          <w:szCs w:val="24"/>
        </w:rPr>
      </w:pPr>
      <w:r>
        <w:rPr>
          <w:rFonts w:ascii="仿宋" w:hAnsi="仿宋" w:eastAsia="仿宋"/>
          <w:sz w:val="24"/>
          <w:szCs w:val="24"/>
        </w:rPr>
        <w:t>针对二</w:t>
      </w:r>
      <w:r>
        <w:rPr>
          <w:rFonts w:hint="eastAsia" w:ascii="仿宋" w:hAnsi="仿宋" w:eastAsia="仿宋"/>
          <w:sz w:val="24"/>
          <w:szCs w:val="24"/>
          <w:lang w:eastAsia="zh-CN"/>
        </w:rPr>
        <w:t>、</w:t>
      </w:r>
      <w:r>
        <w:rPr>
          <w:rFonts w:ascii="仿宋" w:hAnsi="仿宋" w:eastAsia="仿宋"/>
          <w:sz w:val="24"/>
          <w:szCs w:val="24"/>
        </w:rPr>
        <w:t>三级（</w:t>
      </w:r>
      <w:r>
        <w:rPr>
          <w:rFonts w:hint="eastAsia" w:ascii="仿宋" w:hAnsi="仿宋" w:eastAsia="仿宋"/>
          <w:sz w:val="24"/>
          <w:szCs w:val="24"/>
          <w:lang w:val="en-US" w:eastAsia="zh-CN"/>
        </w:rPr>
        <w:t>综合、</w:t>
      </w:r>
      <w:r>
        <w:rPr>
          <w:rFonts w:ascii="仿宋" w:hAnsi="仿宋" w:eastAsia="仿宋"/>
          <w:sz w:val="24"/>
          <w:szCs w:val="24"/>
        </w:rPr>
        <w:t>专科）公立医院绩效考核指标，系统需实现</w:t>
      </w:r>
      <w:r>
        <w:rPr>
          <w:rFonts w:ascii="仿宋" w:hAnsi="仿宋" w:eastAsia="仿宋"/>
          <w:b/>
          <w:bCs/>
          <w:color w:val="0000FF"/>
          <w:sz w:val="24"/>
          <w:szCs w:val="24"/>
        </w:rPr>
        <w:t>全流程</w:t>
      </w:r>
      <w:r>
        <w:rPr>
          <w:rFonts w:hint="eastAsia" w:ascii="仿宋" w:hAnsi="仿宋" w:eastAsia="仿宋"/>
          <w:b/>
          <w:bCs/>
          <w:color w:val="0000FF"/>
          <w:sz w:val="24"/>
          <w:szCs w:val="24"/>
          <w:lang w:val="en-US" w:eastAsia="zh-CN"/>
        </w:rPr>
        <w:t>监</w:t>
      </w:r>
      <w:r>
        <w:rPr>
          <w:rFonts w:ascii="仿宋" w:hAnsi="仿宋" w:eastAsia="仿宋"/>
          <w:b/>
          <w:bCs/>
          <w:color w:val="0000FF"/>
          <w:sz w:val="24"/>
          <w:szCs w:val="24"/>
        </w:rPr>
        <w:t>测</w:t>
      </w:r>
      <w:r>
        <w:rPr>
          <w:rFonts w:ascii="仿宋" w:hAnsi="仿宋" w:eastAsia="仿宋"/>
          <w:sz w:val="24"/>
          <w:szCs w:val="24"/>
        </w:rPr>
        <w:t>与深度分析，重点覆盖公立医院绩效监测要求的</w:t>
      </w:r>
      <w:r>
        <w:rPr>
          <w:rFonts w:ascii="Calibri" w:hAnsi="Calibri" w:eastAsia="仿宋" w:cs="Calibri"/>
          <w:sz w:val="24"/>
          <w:szCs w:val="24"/>
        </w:rPr>
        <w:t> </w:t>
      </w:r>
      <w:r>
        <w:rPr>
          <w:rFonts w:ascii="仿宋" w:hAnsi="仿宋" w:eastAsia="仿宋"/>
          <w:sz w:val="24"/>
          <w:szCs w:val="24"/>
        </w:rPr>
        <w:t>56</w:t>
      </w:r>
      <w:r>
        <w:rPr>
          <w:rFonts w:ascii="Calibri" w:hAnsi="Calibri" w:eastAsia="仿宋" w:cs="Calibri"/>
          <w:sz w:val="24"/>
          <w:szCs w:val="24"/>
        </w:rPr>
        <w:t> </w:t>
      </w:r>
      <w:r>
        <w:rPr>
          <w:rFonts w:ascii="仿宋" w:hAnsi="仿宋" w:eastAsia="仿宋"/>
          <w:sz w:val="24"/>
          <w:szCs w:val="24"/>
        </w:rPr>
        <w:t>项指标（含医疗质量、运营效率、持续发展、满意度四大维度），并支持指标明细数据的实时调阅与明细数据的专项分析，助力地市卫健委强化对公立医院绩效监测的精细化管理。</w:t>
      </w:r>
      <w:r>
        <w:rPr>
          <w:rFonts w:ascii="仿宋" w:hAnsi="仿宋" w:eastAsia="仿宋"/>
          <w:sz w:val="24"/>
          <w:szCs w:val="24"/>
        </w:rPr>
        <w:br w:type="textWrapping"/>
      </w:r>
      <w:r>
        <w:rPr>
          <w:rFonts w:hint="eastAsia" w:ascii="仿宋" w:hAnsi="仿宋" w:eastAsia="仿宋"/>
          <w:b/>
          <w:bCs/>
          <w:sz w:val="24"/>
          <w:szCs w:val="24"/>
        </w:rPr>
        <w:t xml:space="preserve">   1.4.</w:t>
      </w:r>
      <w:r>
        <w:rPr>
          <w:rFonts w:ascii="仿宋" w:hAnsi="仿宋" w:eastAsia="仿宋"/>
          <w:b/>
          <w:bCs/>
          <w:sz w:val="24"/>
          <w:szCs w:val="24"/>
        </w:rPr>
        <w:t>病案</w:t>
      </w:r>
      <w:r>
        <w:rPr>
          <w:rFonts w:ascii="Calibri" w:hAnsi="Calibri" w:eastAsia="仿宋" w:cs="Calibri"/>
          <w:b/>
          <w:bCs/>
          <w:sz w:val="24"/>
          <w:szCs w:val="24"/>
        </w:rPr>
        <w:t> </w:t>
      </w:r>
      <w:r>
        <w:rPr>
          <w:rFonts w:ascii="仿宋" w:hAnsi="仿宋" w:eastAsia="仿宋"/>
          <w:b/>
          <w:bCs/>
          <w:sz w:val="24"/>
          <w:szCs w:val="24"/>
        </w:rPr>
        <w:t>HQMS</w:t>
      </w:r>
      <w:r>
        <w:rPr>
          <w:rFonts w:ascii="Calibri" w:hAnsi="Calibri" w:eastAsia="仿宋" w:cs="Calibri"/>
          <w:b/>
          <w:bCs/>
          <w:sz w:val="24"/>
          <w:szCs w:val="24"/>
        </w:rPr>
        <w:t> </w:t>
      </w:r>
      <w:r>
        <w:rPr>
          <w:rFonts w:ascii="仿宋" w:hAnsi="仿宋" w:eastAsia="仿宋"/>
          <w:b/>
          <w:bCs/>
          <w:sz w:val="24"/>
          <w:szCs w:val="24"/>
        </w:rPr>
        <w:t>数据管理与分析</w:t>
      </w:r>
    </w:p>
    <w:p w14:paraId="3419F514">
      <w:pPr>
        <w:spacing w:line="360" w:lineRule="auto"/>
        <w:ind w:firstLine="480" w:firstLineChars="200"/>
        <w:rPr>
          <w:rFonts w:hint="eastAsia" w:ascii="仿宋" w:hAnsi="仿宋" w:eastAsia="仿宋"/>
          <w:b/>
          <w:bCs/>
          <w:sz w:val="24"/>
          <w:szCs w:val="24"/>
        </w:rPr>
      </w:pPr>
      <w:r>
        <w:rPr>
          <w:rFonts w:ascii="仿宋" w:hAnsi="仿宋" w:eastAsia="仿宋"/>
          <w:sz w:val="24"/>
          <w:szCs w:val="24"/>
        </w:rPr>
        <w:t>系统需支持病案</w:t>
      </w:r>
      <w:r>
        <w:rPr>
          <w:rFonts w:ascii="Calibri" w:hAnsi="Calibri" w:eastAsia="仿宋" w:cs="Calibri"/>
          <w:sz w:val="24"/>
          <w:szCs w:val="24"/>
        </w:rPr>
        <w:t> </w:t>
      </w:r>
      <w:r>
        <w:rPr>
          <w:rFonts w:ascii="仿宋" w:hAnsi="仿宋" w:eastAsia="仿宋"/>
          <w:sz w:val="24"/>
          <w:szCs w:val="24"/>
        </w:rPr>
        <w:t>HQMS（医院质量监测系统）数据的规范上传与整合，并针对其中</w:t>
      </w:r>
      <w:r>
        <w:rPr>
          <w:rFonts w:ascii="Calibri" w:hAnsi="Calibri" w:eastAsia="仿宋" w:cs="Calibri"/>
          <w:sz w:val="24"/>
          <w:szCs w:val="24"/>
        </w:rPr>
        <w:t> </w:t>
      </w:r>
      <w:r>
        <w:rPr>
          <w:rFonts w:ascii="仿宋" w:hAnsi="仿宋" w:eastAsia="仿宋"/>
          <w:sz w:val="24"/>
          <w:szCs w:val="24"/>
        </w:rPr>
        <w:t>8</w:t>
      </w:r>
      <w:r>
        <w:rPr>
          <w:rFonts w:ascii="Calibri" w:hAnsi="Calibri" w:eastAsia="仿宋" w:cs="Calibri"/>
          <w:sz w:val="24"/>
          <w:szCs w:val="24"/>
        </w:rPr>
        <w:t> </w:t>
      </w:r>
      <w:r>
        <w:rPr>
          <w:rFonts w:ascii="仿宋" w:hAnsi="仿宋" w:eastAsia="仿宋"/>
          <w:sz w:val="24"/>
          <w:szCs w:val="24"/>
        </w:rPr>
        <w:t>项核心指标开展专项分析与可视化展示；同时需保障该部分指标明细数据可在系统内调阅，且支持明细数据的深度分析，满足病案质量监测与管理需求。</w:t>
      </w:r>
      <w:r>
        <w:rPr>
          <w:rFonts w:ascii="仿宋" w:hAnsi="仿宋" w:eastAsia="仿宋"/>
          <w:sz w:val="24"/>
          <w:szCs w:val="24"/>
        </w:rPr>
        <w:br w:type="textWrapping"/>
      </w:r>
      <w:r>
        <w:rPr>
          <w:rFonts w:hint="eastAsia" w:ascii="仿宋" w:hAnsi="仿宋" w:eastAsia="仿宋"/>
          <w:b/>
          <w:bCs/>
          <w:sz w:val="24"/>
          <w:szCs w:val="24"/>
        </w:rPr>
        <w:t xml:space="preserve">   1.5.</w:t>
      </w:r>
      <w:r>
        <w:rPr>
          <w:rFonts w:ascii="仿宋" w:hAnsi="仿宋" w:eastAsia="仿宋"/>
          <w:b/>
          <w:bCs/>
          <w:sz w:val="24"/>
          <w:szCs w:val="24"/>
        </w:rPr>
        <w:t>系统安全保障</w:t>
      </w:r>
    </w:p>
    <w:p w14:paraId="75AF2A21">
      <w:pPr>
        <w:spacing w:line="360" w:lineRule="auto"/>
        <w:ind w:firstLine="480" w:firstLineChars="200"/>
        <w:rPr>
          <w:rFonts w:hint="eastAsia" w:ascii="仿宋" w:hAnsi="仿宋" w:eastAsia="仿宋"/>
          <w:sz w:val="24"/>
          <w:szCs w:val="24"/>
        </w:rPr>
      </w:pPr>
      <w:r>
        <w:rPr>
          <w:rFonts w:ascii="仿宋" w:hAnsi="仿宋" w:eastAsia="仿宋"/>
          <w:sz w:val="24"/>
          <w:szCs w:val="24"/>
        </w:rPr>
        <w:t>项目涉及内部业务系统建设时，需将安全性原则贯穿全流程：系统须配备严密的身份验证机制、精细化访问控制策略及多层次数据保密手段，通过多维度安全措施，确保系统运行稳定及数据的安全性、完整性，保障业务开展的合规性与可靠性</w:t>
      </w:r>
      <w:r>
        <w:rPr>
          <w:rFonts w:hint="eastAsia" w:ascii="仿宋" w:hAnsi="仿宋" w:eastAsia="仿宋"/>
          <w:sz w:val="24"/>
          <w:szCs w:val="24"/>
        </w:rPr>
        <w:t>。</w:t>
      </w:r>
    </w:p>
    <w:p w14:paraId="38E39957">
      <w:pPr>
        <w:pStyle w:val="31"/>
        <w:spacing w:line="360" w:lineRule="auto"/>
        <w:ind w:left="0" w:firstLine="482" w:firstLineChars="200"/>
        <w:rPr>
          <w:rFonts w:hint="eastAsia" w:ascii="仿宋" w:hAnsi="仿宋" w:eastAsia="仿宋"/>
          <w:sz w:val="24"/>
          <w:szCs w:val="24"/>
        </w:rPr>
      </w:pPr>
      <w:r>
        <w:rPr>
          <w:rFonts w:ascii="仿宋" w:hAnsi="仿宋" w:eastAsia="仿宋"/>
          <w:b/>
          <w:bCs/>
          <w:sz w:val="24"/>
          <w:szCs w:val="24"/>
        </w:rPr>
        <w:t>2.</w:t>
      </w:r>
      <w:r>
        <w:rPr>
          <w:rFonts w:ascii="Calibri" w:hAnsi="Calibri" w:eastAsia="仿宋" w:cs="Calibri"/>
          <w:b/>
          <w:bCs/>
          <w:sz w:val="24"/>
          <w:szCs w:val="24"/>
        </w:rPr>
        <w:t> </w:t>
      </w:r>
      <w:r>
        <w:rPr>
          <w:rFonts w:ascii="仿宋" w:hAnsi="仿宋" w:eastAsia="仿宋"/>
          <w:b/>
          <w:bCs/>
          <w:sz w:val="24"/>
          <w:szCs w:val="24"/>
        </w:rPr>
        <w:t>填报数据功能参数要求</w:t>
      </w:r>
      <w:r>
        <w:rPr>
          <w:rFonts w:ascii="Cambria Math" w:hAnsi="Cambria Math" w:eastAsia="仿宋" w:cs="Cambria Math"/>
          <w:b/>
          <w:bCs/>
          <w:sz w:val="24"/>
          <w:szCs w:val="24"/>
        </w:rPr>
        <w:t>​</w:t>
      </w:r>
    </w:p>
    <w:p w14:paraId="287A35D7">
      <w:pPr>
        <w:pStyle w:val="31"/>
        <w:spacing w:line="360" w:lineRule="auto"/>
        <w:ind w:left="0" w:firstLine="482" w:firstLineChars="200"/>
        <w:rPr>
          <w:rFonts w:hint="eastAsia" w:ascii="仿宋" w:hAnsi="仿宋" w:eastAsia="仿宋"/>
          <w:sz w:val="24"/>
          <w:szCs w:val="24"/>
        </w:rPr>
      </w:pPr>
      <w:r>
        <w:rPr>
          <w:rFonts w:ascii="仿宋" w:hAnsi="仿宋" w:eastAsia="仿宋"/>
          <w:b/>
          <w:bCs/>
          <w:sz w:val="24"/>
          <w:szCs w:val="24"/>
        </w:rPr>
        <w:t>2.1</w:t>
      </w:r>
      <w:r>
        <w:rPr>
          <w:rFonts w:ascii="Calibri" w:hAnsi="Calibri" w:eastAsia="仿宋" w:cs="Calibri"/>
          <w:b/>
          <w:bCs/>
          <w:sz w:val="24"/>
          <w:szCs w:val="24"/>
        </w:rPr>
        <w:t> </w:t>
      </w:r>
      <w:r>
        <w:rPr>
          <w:rFonts w:ascii="仿宋" w:hAnsi="仿宋" w:eastAsia="仿宋"/>
          <w:b/>
          <w:bCs/>
          <w:sz w:val="24"/>
          <w:szCs w:val="24"/>
        </w:rPr>
        <w:t>医疗质量</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功能定位指标分析呈现</w:t>
      </w:r>
      <w:r>
        <w:rPr>
          <w:rFonts w:ascii="Cambria Math" w:hAnsi="Cambria Math" w:eastAsia="仿宋" w:cs="Cambria Math"/>
          <w:b/>
          <w:bCs/>
          <w:sz w:val="24"/>
          <w:szCs w:val="24"/>
        </w:rPr>
        <w:t>​</w:t>
      </w:r>
    </w:p>
    <w:p w14:paraId="309C4B51">
      <w:pPr>
        <w:pStyle w:val="31"/>
        <w:spacing w:line="360" w:lineRule="auto"/>
        <w:ind w:left="0" w:firstLine="480" w:firstLineChars="200"/>
        <w:rPr>
          <w:rFonts w:hint="eastAsia" w:ascii="仿宋" w:hAnsi="仿宋" w:eastAsia="仿宋"/>
          <w:sz w:val="24"/>
          <w:szCs w:val="24"/>
        </w:rPr>
      </w:pPr>
      <w:r>
        <w:rPr>
          <w:rFonts w:ascii="仿宋" w:hAnsi="仿宋" w:eastAsia="仿宋"/>
          <w:sz w:val="24"/>
          <w:szCs w:val="24"/>
        </w:rPr>
        <w:t>需严格遵循卫健委对公立医院功能定位的监管要求，</w:t>
      </w:r>
      <w:r>
        <w:rPr>
          <w:rFonts w:ascii="仿宋" w:hAnsi="仿宋" w:eastAsia="仿宋"/>
          <w:sz w:val="24"/>
          <w:szCs w:val="24"/>
          <w:highlight w:val="none"/>
        </w:rPr>
        <w:t>支持对门诊人次数与出院人次数比、下转患者人次数（含门急诊、住院）、日间手术占择期手术比例、出院患者手术占比、出院患者微创手术占比、出院患者三</w:t>
      </w:r>
      <w:r>
        <w:rPr>
          <w:rFonts w:ascii="Calibri" w:hAnsi="Calibri" w:eastAsia="仿宋" w:cs="Calibri"/>
          <w:sz w:val="24"/>
          <w:szCs w:val="24"/>
          <w:highlight w:val="none"/>
        </w:rPr>
        <w:t> </w:t>
      </w:r>
      <w:r>
        <w:rPr>
          <w:rFonts w:ascii="仿宋" w:hAnsi="仿宋" w:eastAsia="仿宋"/>
          <w:sz w:val="24"/>
          <w:szCs w:val="24"/>
          <w:highlight w:val="none"/>
        </w:rPr>
        <w:t>/</w:t>
      </w:r>
      <w:r>
        <w:rPr>
          <w:rFonts w:ascii="Calibri" w:hAnsi="Calibri" w:eastAsia="仿宋" w:cs="Calibri"/>
          <w:sz w:val="24"/>
          <w:szCs w:val="24"/>
          <w:highlight w:val="none"/>
        </w:rPr>
        <w:t> </w:t>
      </w:r>
      <w:r>
        <w:rPr>
          <w:rFonts w:ascii="仿宋" w:hAnsi="仿宋" w:eastAsia="仿宋"/>
          <w:sz w:val="24"/>
          <w:szCs w:val="24"/>
          <w:highlight w:val="none"/>
        </w:rPr>
        <w:t>四级手术比例、特需医疗服务占比7</w:t>
      </w:r>
      <w:r>
        <w:rPr>
          <w:rFonts w:ascii="Calibri" w:hAnsi="Calibri" w:eastAsia="仿宋" w:cs="Calibri"/>
          <w:sz w:val="24"/>
          <w:szCs w:val="24"/>
          <w:highlight w:val="none"/>
        </w:rPr>
        <w:t> </w:t>
      </w:r>
      <w:r>
        <w:rPr>
          <w:rFonts w:ascii="仿宋" w:hAnsi="仿宋" w:eastAsia="仿宋"/>
          <w:sz w:val="24"/>
          <w:szCs w:val="24"/>
          <w:highlight w:val="none"/>
        </w:rPr>
        <w:t>项核心指标的动态监测。系</w:t>
      </w:r>
      <w:r>
        <w:rPr>
          <w:rFonts w:ascii="仿宋" w:hAnsi="仿宋" w:eastAsia="仿宋"/>
          <w:sz w:val="24"/>
          <w:szCs w:val="24"/>
        </w:rPr>
        <w:t>统需实时反馈各指标趋势变化，助力卫健委精准把控医院功能定位落实情况，确保医院服务能力与定位相匹配。</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2.2</w:t>
      </w:r>
      <w:r>
        <w:rPr>
          <w:rFonts w:ascii="Calibri" w:hAnsi="Calibri" w:eastAsia="仿宋" w:cs="Calibri"/>
          <w:b/>
          <w:bCs/>
          <w:sz w:val="24"/>
          <w:szCs w:val="24"/>
        </w:rPr>
        <w:t> </w:t>
      </w:r>
      <w:r>
        <w:rPr>
          <w:rFonts w:ascii="仿宋" w:hAnsi="仿宋" w:eastAsia="仿宋"/>
          <w:b/>
          <w:bCs/>
          <w:sz w:val="24"/>
          <w:szCs w:val="24"/>
        </w:rPr>
        <w:t>医疗质量</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质量安全指标分析呈现</w:t>
      </w:r>
      <w:r>
        <w:rPr>
          <w:rFonts w:ascii="Cambria Math" w:hAnsi="Cambria Math" w:eastAsia="仿宋" w:cs="Cambria Math"/>
          <w:b/>
          <w:bCs/>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支持对手术患者并发症发生率、I</w:t>
      </w:r>
      <w:r>
        <w:rPr>
          <w:rFonts w:ascii="Calibri" w:hAnsi="Calibri" w:eastAsia="仿宋" w:cs="Calibri"/>
          <w:sz w:val="24"/>
          <w:szCs w:val="24"/>
        </w:rPr>
        <w:t> </w:t>
      </w:r>
      <w:r>
        <w:rPr>
          <w:rFonts w:ascii="仿宋" w:hAnsi="仿宋" w:eastAsia="仿宋"/>
          <w:sz w:val="24"/>
          <w:szCs w:val="24"/>
        </w:rPr>
        <w:t>类切口手术部位感染率、单病种质量控制指标、大型医用设备检查阳性率、国家室间质量评价的临床检验项目数、低风险组病例死亡率、优质护理服务病房覆盖率7</w:t>
      </w:r>
      <w:r>
        <w:rPr>
          <w:rFonts w:ascii="Calibri" w:hAnsi="Calibri" w:eastAsia="仿宋" w:cs="Calibri"/>
          <w:sz w:val="24"/>
          <w:szCs w:val="24"/>
        </w:rPr>
        <w:t> </w:t>
      </w:r>
      <w:r>
        <w:rPr>
          <w:rFonts w:ascii="仿宋" w:hAnsi="仿宋" w:eastAsia="仿宋"/>
          <w:sz w:val="24"/>
          <w:szCs w:val="24"/>
        </w:rPr>
        <w:t>项指标的全周期监测与多维度分析。需强化医院医疗质量安全管控与机构间横向对比，助力医院精准识别差距；严格对标国家卫生健康委员会关于医疗质量安全管理的部署要求，确保分析结果真实反映医疗质量安全现状，支持按核心质控指标开展动态监测与深度对比，推动医疗机构精准定位短板、落实整改举措，构建医疗质量安全持续提升的闭环管理机制。</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2.3</w:t>
      </w:r>
      <w:r>
        <w:rPr>
          <w:rFonts w:ascii="Calibri" w:hAnsi="Calibri" w:eastAsia="仿宋" w:cs="Calibri"/>
          <w:b/>
          <w:bCs/>
          <w:sz w:val="24"/>
          <w:szCs w:val="24"/>
        </w:rPr>
        <w:t> </w:t>
      </w:r>
      <w:r>
        <w:rPr>
          <w:rFonts w:ascii="仿宋" w:hAnsi="仿宋" w:eastAsia="仿宋"/>
          <w:b/>
          <w:bCs/>
          <w:sz w:val="24"/>
          <w:szCs w:val="24"/>
        </w:rPr>
        <w:t>医疗质量</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合理用药指标分析呈现</w:t>
      </w:r>
      <w:r>
        <w:rPr>
          <w:rFonts w:ascii="Cambria Math" w:hAnsi="Cambria Math" w:eastAsia="仿宋" w:cs="Cambria Math"/>
          <w:b/>
          <w:bCs/>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支持对点评处方占处方总数的比例、抗菌药物使用强度（DDDs）、门诊患者基本药物处方占比、住院患者基本药物使用率、基本药物采购品种数占比、国家组织药品集中采购中标药品使用比例6</w:t>
      </w:r>
      <w:r>
        <w:rPr>
          <w:rFonts w:ascii="Calibri" w:hAnsi="Calibri" w:eastAsia="仿宋" w:cs="Calibri"/>
          <w:sz w:val="24"/>
          <w:szCs w:val="24"/>
        </w:rPr>
        <w:t> </w:t>
      </w:r>
      <w:r>
        <w:rPr>
          <w:rFonts w:ascii="仿宋" w:hAnsi="仿宋" w:eastAsia="仿宋"/>
          <w:sz w:val="24"/>
          <w:szCs w:val="24"/>
        </w:rPr>
        <w:t>项指标的监测与对比分析。需以</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保障用药合理性、践行药品服务患者宗旨”</w:t>
      </w:r>
      <w:r>
        <w:rPr>
          <w:rFonts w:ascii="Calibri" w:hAnsi="Calibri" w:eastAsia="仿宋" w:cs="Calibri"/>
          <w:sz w:val="24"/>
          <w:szCs w:val="24"/>
        </w:rPr>
        <w:t> </w:t>
      </w:r>
      <w:r>
        <w:rPr>
          <w:rFonts w:ascii="仿宋" w:hAnsi="仿宋" w:eastAsia="仿宋"/>
          <w:sz w:val="24"/>
          <w:szCs w:val="24"/>
        </w:rPr>
        <w:t>为核心，强化基本药物配备使用管理，满足人民群众基本用药需求；严格契合卫健委对合理用药的监管要求，助力推进药品供应保障体系建设，明确基本药物功能定位，推动分级诊疗落地，持续提升医疗机构合理用药水平。</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2.4</w:t>
      </w:r>
      <w:r>
        <w:rPr>
          <w:rFonts w:ascii="Calibri" w:hAnsi="Calibri" w:eastAsia="仿宋" w:cs="Calibri"/>
          <w:b/>
          <w:bCs/>
          <w:sz w:val="24"/>
          <w:szCs w:val="24"/>
        </w:rPr>
        <w:t> </w:t>
      </w:r>
      <w:r>
        <w:rPr>
          <w:rFonts w:ascii="仿宋" w:hAnsi="仿宋" w:eastAsia="仿宋"/>
          <w:b/>
          <w:bCs/>
          <w:sz w:val="24"/>
          <w:szCs w:val="24"/>
        </w:rPr>
        <w:t>医疗质量</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服务流程指标分析呈现</w:t>
      </w:r>
      <w:r>
        <w:rPr>
          <w:rFonts w:ascii="Cambria Math" w:hAnsi="Cambria Math" w:eastAsia="仿宋" w:cs="Cambria Math"/>
          <w:b/>
          <w:bCs/>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支持对门诊患者平均预约诊疗率、门诊患者预约后平均等待时间、电子病历应用功能水平分级指标3</w:t>
      </w:r>
      <w:r>
        <w:rPr>
          <w:rFonts w:ascii="Calibri" w:hAnsi="Calibri" w:eastAsia="仿宋" w:cs="Calibri"/>
          <w:sz w:val="24"/>
          <w:szCs w:val="24"/>
        </w:rPr>
        <w:t> </w:t>
      </w:r>
      <w:r>
        <w:rPr>
          <w:rFonts w:ascii="仿宋" w:hAnsi="仿宋" w:eastAsia="仿宋"/>
          <w:sz w:val="24"/>
          <w:szCs w:val="24"/>
        </w:rPr>
        <w:t>项指标的监测与深度分析。需紧扣国家卫生健康委员会改善医疗服务行动计划要求，重点支撑三大目标实现：一是推进预约诊疗制度深化（含资源向基层倾斜），二是落实精准分时段预约（缩短患者实际等待时间），三是优化门诊全流程闭环管理（消除无效等待），同时助力电子病历系统应用水平分级评价目标的落地与持续提升。</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2.5</w:t>
      </w:r>
      <w:r>
        <w:rPr>
          <w:rFonts w:ascii="Calibri" w:hAnsi="Calibri" w:eastAsia="仿宋" w:cs="Calibri"/>
          <w:b/>
          <w:bCs/>
          <w:sz w:val="24"/>
          <w:szCs w:val="24"/>
        </w:rPr>
        <w:t> </w:t>
      </w:r>
      <w:r>
        <w:rPr>
          <w:rFonts w:ascii="仿宋" w:hAnsi="仿宋" w:eastAsia="仿宋"/>
          <w:b/>
          <w:bCs/>
          <w:sz w:val="24"/>
          <w:szCs w:val="24"/>
        </w:rPr>
        <w:t>运营效率</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资源效率指标分析呈现</w:t>
      </w:r>
      <w:r>
        <w:rPr>
          <w:rFonts w:ascii="Cambria Math" w:hAnsi="Cambria Math" w:eastAsia="仿宋" w:cs="Cambria Math"/>
          <w:b/>
          <w:bCs/>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支持对每名执业医师日均住院工作负担、每百张病床药师人数2</w:t>
      </w:r>
      <w:r>
        <w:rPr>
          <w:rFonts w:ascii="Calibri" w:hAnsi="Calibri" w:eastAsia="仿宋" w:cs="Calibri"/>
          <w:sz w:val="24"/>
          <w:szCs w:val="24"/>
        </w:rPr>
        <w:t> </w:t>
      </w:r>
      <w:r>
        <w:rPr>
          <w:rFonts w:ascii="仿宋" w:hAnsi="仿宋" w:eastAsia="仿宋"/>
          <w:sz w:val="24"/>
          <w:szCs w:val="24"/>
        </w:rPr>
        <w:t>项指标的分析。需以</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实现药学服务全覆盖”</w:t>
      </w:r>
      <w:r>
        <w:rPr>
          <w:rFonts w:ascii="Calibri" w:hAnsi="Calibri" w:eastAsia="仿宋" w:cs="Calibri"/>
          <w:sz w:val="24"/>
          <w:szCs w:val="24"/>
        </w:rPr>
        <w:t> </w:t>
      </w:r>
      <w:r>
        <w:rPr>
          <w:rFonts w:ascii="仿宋" w:hAnsi="仿宋" w:eastAsia="仿宋"/>
          <w:sz w:val="24"/>
          <w:szCs w:val="24"/>
        </w:rPr>
        <w:t>为目标，保障临床药师为门诊及住院患者提供个性化合理用药指导；同时响应卫健委推进分级诊疗的部署，助力改善医务人员工作环境与后勤保障条件，为医疗机构优化医疗服务供给创造基础条件。</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2.6</w:t>
      </w:r>
      <w:r>
        <w:rPr>
          <w:rFonts w:ascii="Calibri" w:hAnsi="Calibri" w:eastAsia="仿宋" w:cs="Calibri"/>
          <w:b/>
          <w:bCs/>
          <w:sz w:val="24"/>
          <w:szCs w:val="24"/>
        </w:rPr>
        <w:t> </w:t>
      </w:r>
      <w:r>
        <w:rPr>
          <w:rFonts w:ascii="仿宋" w:hAnsi="仿宋" w:eastAsia="仿宋"/>
          <w:b/>
          <w:bCs/>
          <w:sz w:val="24"/>
          <w:szCs w:val="24"/>
        </w:rPr>
        <w:t>运营效率</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收支结构指标分析呈现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门诊收入占医疗收入比例、门诊收入中来自医保基金的比例、住院收入占医疗收入比例、住院收入中来自医保基金的比例、医疗服务收入（不含药品、耗材、检查检验收入）占医疗收入比例、辅助用药收入占比、人员支出占业务支出比重、万元收入能耗支出、收支结余、资产负债率10</w:t>
      </w:r>
      <w:r>
        <w:rPr>
          <w:rFonts w:ascii="Calibri" w:hAnsi="Calibri" w:eastAsia="仿宋" w:cs="Calibri"/>
          <w:sz w:val="24"/>
          <w:szCs w:val="24"/>
        </w:rPr>
        <w:t> </w:t>
      </w:r>
      <w:r>
        <w:rPr>
          <w:rFonts w:ascii="仿宋" w:hAnsi="仿宋" w:eastAsia="仿宋"/>
          <w:sz w:val="24"/>
          <w:szCs w:val="24"/>
        </w:rPr>
        <w:t>项指标的监测与多维度分析。需契合卫健委对公立医院精细化管理与高质量发展的监管需求，助力卫健委直观研判医院运行潜在风险、精准掌握运营状况，引导医院坚守公益性定位，提升可持续发展能力。</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2.7</w:t>
      </w:r>
      <w:r>
        <w:rPr>
          <w:rFonts w:ascii="Calibri" w:hAnsi="Calibri" w:eastAsia="仿宋" w:cs="Calibri"/>
          <w:b/>
          <w:bCs/>
          <w:sz w:val="24"/>
          <w:szCs w:val="24"/>
        </w:rPr>
        <w:t> </w:t>
      </w:r>
      <w:r>
        <w:rPr>
          <w:rFonts w:ascii="仿宋" w:hAnsi="仿宋" w:eastAsia="仿宋"/>
          <w:b/>
          <w:bCs/>
          <w:sz w:val="24"/>
          <w:szCs w:val="24"/>
        </w:rPr>
        <w:t>运营效率</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费用控制指标分析呈现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支持对医疗收入增幅、门诊次均费用增幅、门诊次均药品费用增幅、住院次均费用增幅、住院次均药品费用增幅5</w:t>
      </w:r>
      <w:r>
        <w:rPr>
          <w:rFonts w:ascii="Calibri" w:hAnsi="Calibri" w:eastAsia="仿宋" w:cs="Calibri"/>
          <w:sz w:val="24"/>
          <w:szCs w:val="24"/>
        </w:rPr>
        <w:t> </w:t>
      </w:r>
      <w:r>
        <w:rPr>
          <w:rFonts w:ascii="仿宋" w:hAnsi="仿宋" w:eastAsia="仿宋"/>
          <w:sz w:val="24"/>
          <w:szCs w:val="24"/>
        </w:rPr>
        <w:t>项指标的监测与趋势分析。需对接多元复合式医保支付方式改革要求，引导医疗机构主动控制运营成本与费用不合理增长，直接响应卫健委严控医疗费用不合理增长的核心任务；同时赋能医院在医保支付改革背景下精准开展成本管理，契合公立医院</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提质、控费、增效”</w:t>
      </w:r>
      <w:r>
        <w:rPr>
          <w:rFonts w:ascii="Calibri" w:hAnsi="Calibri" w:eastAsia="仿宋" w:cs="Calibri"/>
          <w:sz w:val="24"/>
          <w:szCs w:val="24"/>
        </w:rPr>
        <w:t> </w:t>
      </w:r>
      <w:r>
        <w:rPr>
          <w:rFonts w:ascii="仿宋" w:hAnsi="仿宋" w:eastAsia="仿宋"/>
          <w:sz w:val="24"/>
          <w:szCs w:val="24"/>
        </w:rPr>
        <w:t>的高质量发展政策闭环。</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2.8</w:t>
      </w:r>
      <w:r>
        <w:rPr>
          <w:rFonts w:ascii="Calibri" w:hAnsi="Calibri" w:eastAsia="仿宋" w:cs="Calibri"/>
          <w:b/>
          <w:bCs/>
          <w:sz w:val="24"/>
          <w:szCs w:val="24"/>
        </w:rPr>
        <w:t> </w:t>
      </w:r>
      <w:r>
        <w:rPr>
          <w:rFonts w:ascii="仿宋" w:hAnsi="仿宋" w:eastAsia="仿宋"/>
          <w:b/>
          <w:bCs/>
          <w:sz w:val="24"/>
          <w:szCs w:val="24"/>
        </w:rPr>
        <w:t>持续发展</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人才结构指标分析呈现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支持对卫生技术人员职称结构、麻醉</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儿科</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重症</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病理</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中医医师占比、医护比3</w:t>
      </w:r>
      <w:r>
        <w:rPr>
          <w:rFonts w:ascii="Calibri" w:hAnsi="Calibri" w:eastAsia="仿宋" w:cs="Calibri"/>
          <w:sz w:val="24"/>
          <w:szCs w:val="24"/>
        </w:rPr>
        <w:t> </w:t>
      </w:r>
      <w:r>
        <w:rPr>
          <w:rFonts w:ascii="仿宋" w:hAnsi="仿宋" w:eastAsia="仿宋"/>
          <w:sz w:val="24"/>
          <w:szCs w:val="24"/>
        </w:rPr>
        <w:t>项指标的监测与结构分析。需确保卫生技术人员职称结构与医院功能定位、任务需求相匹配；精准响应卫健委</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补齐紧缺人才短板、优化卫生人力配置效率”</w:t>
      </w:r>
      <w:r>
        <w:rPr>
          <w:rFonts w:ascii="Calibri" w:hAnsi="Calibri" w:eastAsia="仿宋" w:cs="Calibri"/>
          <w:sz w:val="24"/>
          <w:szCs w:val="24"/>
        </w:rPr>
        <w:t> </w:t>
      </w:r>
      <w:r>
        <w:rPr>
          <w:rFonts w:ascii="仿宋" w:hAnsi="仿宋" w:eastAsia="仿宋"/>
          <w:sz w:val="24"/>
          <w:szCs w:val="24"/>
        </w:rPr>
        <w:t>的核心部署，为公立医院实现</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病有良医”</w:t>
      </w:r>
      <w:r>
        <w:rPr>
          <w:rFonts w:ascii="Calibri" w:hAnsi="Calibri" w:eastAsia="仿宋" w:cs="Calibri"/>
          <w:sz w:val="24"/>
          <w:szCs w:val="24"/>
        </w:rPr>
        <w:t> </w:t>
      </w:r>
      <w:r>
        <w:rPr>
          <w:rFonts w:ascii="仿宋" w:hAnsi="仿宋" w:eastAsia="仿宋"/>
          <w:sz w:val="24"/>
          <w:szCs w:val="24"/>
        </w:rPr>
        <w:t>提供数据决策支撑，符合健康中国战略中</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人才强卫”</w:t>
      </w:r>
      <w:r>
        <w:rPr>
          <w:rFonts w:ascii="Calibri" w:hAnsi="Calibri" w:eastAsia="仿宋" w:cs="Calibri"/>
          <w:sz w:val="24"/>
          <w:szCs w:val="24"/>
        </w:rPr>
        <w:t> </w:t>
      </w:r>
      <w:r>
        <w:rPr>
          <w:rFonts w:ascii="仿宋" w:hAnsi="仿宋" w:eastAsia="仿宋"/>
          <w:sz w:val="24"/>
          <w:szCs w:val="24"/>
        </w:rPr>
        <w:t>的政策导向。</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2.9</w:t>
      </w:r>
      <w:r>
        <w:rPr>
          <w:rFonts w:ascii="Calibri" w:hAnsi="Calibri" w:eastAsia="仿宋" w:cs="Calibri"/>
          <w:b/>
          <w:bCs/>
          <w:sz w:val="24"/>
          <w:szCs w:val="24"/>
        </w:rPr>
        <w:t> </w:t>
      </w:r>
      <w:r>
        <w:rPr>
          <w:rFonts w:ascii="仿宋" w:hAnsi="仿宋" w:eastAsia="仿宋"/>
          <w:b/>
          <w:bCs/>
          <w:sz w:val="24"/>
          <w:szCs w:val="24"/>
        </w:rPr>
        <w:t>持续发展</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人才培养指标分析呈现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支持对医院接受其他医院（重点为对口支援医院、医联体内医院）进修并返回原医院独立工作人数占比、医院住院医师首次参加医师资格考试通过率、医院承担医学人才培养工作成效3</w:t>
      </w:r>
      <w:r>
        <w:rPr>
          <w:rFonts w:ascii="Calibri" w:hAnsi="Calibri" w:eastAsia="仿宋" w:cs="Calibri"/>
          <w:sz w:val="24"/>
          <w:szCs w:val="24"/>
        </w:rPr>
        <w:t> </w:t>
      </w:r>
      <w:r>
        <w:rPr>
          <w:rFonts w:ascii="仿宋" w:hAnsi="仿宋" w:eastAsia="仿宋"/>
          <w:sz w:val="24"/>
          <w:szCs w:val="24"/>
        </w:rPr>
        <w:t>项指标的监测与成效分析。需严格遵循卫健委要求，以</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人才培养质量倒逼医院教育教学改革”</w:t>
      </w:r>
      <w:r>
        <w:rPr>
          <w:rFonts w:ascii="Calibri" w:hAnsi="Calibri" w:eastAsia="仿宋" w:cs="Calibri"/>
          <w:sz w:val="24"/>
          <w:szCs w:val="24"/>
        </w:rPr>
        <w:t> </w:t>
      </w:r>
      <w:r>
        <w:rPr>
          <w:rFonts w:ascii="仿宋" w:hAnsi="仿宋" w:eastAsia="仿宋"/>
          <w:sz w:val="24"/>
          <w:szCs w:val="24"/>
        </w:rPr>
        <w:t>为核心，推动医院从</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数量规模型”</w:t>
      </w:r>
      <w:r>
        <w:rPr>
          <w:rFonts w:ascii="Calibri" w:hAnsi="Calibri" w:eastAsia="仿宋" w:cs="Calibri"/>
          <w:sz w:val="24"/>
          <w:szCs w:val="24"/>
        </w:rPr>
        <w:t> </w:t>
      </w:r>
      <w:r>
        <w:rPr>
          <w:rFonts w:ascii="仿宋" w:hAnsi="仿宋" w:eastAsia="仿宋"/>
          <w:sz w:val="24"/>
          <w:szCs w:val="24"/>
        </w:rPr>
        <w:t>向</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能力增值型”</w:t>
      </w:r>
      <w:r>
        <w:rPr>
          <w:rFonts w:ascii="Calibri" w:hAnsi="Calibri" w:eastAsia="仿宋" w:cs="Calibri"/>
          <w:sz w:val="24"/>
          <w:szCs w:val="24"/>
        </w:rPr>
        <w:t> </w:t>
      </w:r>
      <w:r>
        <w:rPr>
          <w:rFonts w:ascii="仿宋" w:hAnsi="仿宋" w:eastAsia="仿宋"/>
          <w:sz w:val="24"/>
          <w:szCs w:val="24"/>
        </w:rPr>
        <w:t>人才培养模式转型，为构建分级诊疗体系提供可持续的人才供给保障。</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2.1</w:t>
      </w:r>
      <w:r>
        <w:rPr>
          <w:rFonts w:hint="eastAsia" w:ascii="仿宋" w:hAnsi="仿宋" w:eastAsia="仿宋"/>
          <w:b/>
          <w:bCs/>
          <w:sz w:val="24"/>
          <w:szCs w:val="24"/>
        </w:rPr>
        <w:t>0</w:t>
      </w:r>
      <w:r>
        <w:rPr>
          <w:rFonts w:ascii="Calibri" w:hAnsi="Calibri" w:eastAsia="仿宋" w:cs="Calibri"/>
          <w:b/>
          <w:bCs/>
          <w:sz w:val="24"/>
          <w:szCs w:val="24"/>
        </w:rPr>
        <w:t> </w:t>
      </w:r>
      <w:r>
        <w:rPr>
          <w:rFonts w:ascii="仿宋" w:hAnsi="仿宋" w:eastAsia="仿宋"/>
          <w:b/>
          <w:bCs/>
          <w:sz w:val="24"/>
          <w:szCs w:val="24"/>
        </w:rPr>
        <w:t>持续发展</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学科建设指标分析呈现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支持对每百名卫生技术人员科研项目经费、每百名卫生技术人员科研成果转化金额2</w:t>
      </w:r>
      <w:r>
        <w:rPr>
          <w:rFonts w:ascii="Calibri" w:hAnsi="Calibri" w:eastAsia="仿宋" w:cs="Calibri"/>
          <w:sz w:val="24"/>
          <w:szCs w:val="24"/>
        </w:rPr>
        <w:t> </w:t>
      </w:r>
      <w:r>
        <w:rPr>
          <w:rFonts w:ascii="仿宋" w:hAnsi="仿宋" w:eastAsia="仿宋"/>
          <w:sz w:val="24"/>
          <w:szCs w:val="24"/>
        </w:rPr>
        <w:t>项指标的监测与效能分析。需聚焦医院科研创新能力考核，强化科技创新与卫生健康事业发展深度融合的关键环节，为推进</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健康中国”</w:t>
      </w:r>
      <w:r>
        <w:rPr>
          <w:rFonts w:ascii="Calibri" w:hAnsi="Calibri" w:eastAsia="仿宋" w:cs="Calibri"/>
          <w:sz w:val="24"/>
          <w:szCs w:val="24"/>
        </w:rPr>
        <w:t> </w:t>
      </w:r>
      <w:r>
        <w:rPr>
          <w:rFonts w:ascii="仿宋" w:hAnsi="仿宋" w:eastAsia="仿宋"/>
          <w:sz w:val="24"/>
          <w:szCs w:val="24"/>
        </w:rPr>
        <w:t>建设提供学科与科研支撑。</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2.1</w:t>
      </w:r>
      <w:r>
        <w:rPr>
          <w:rFonts w:hint="eastAsia" w:ascii="仿宋" w:hAnsi="仿宋" w:eastAsia="仿宋"/>
          <w:b/>
          <w:bCs/>
          <w:sz w:val="24"/>
          <w:szCs w:val="24"/>
        </w:rPr>
        <w:t>1</w:t>
      </w:r>
      <w:r>
        <w:rPr>
          <w:rFonts w:ascii="Calibri" w:hAnsi="Calibri" w:eastAsia="仿宋" w:cs="Calibri"/>
          <w:b/>
          <w:bCs/>
          <w:sz w:val="24"/>
          <w:szCs w:val="24"/>
        </w:rPr>
        <w:t> </w:t>
      </w:r>
      <w:r>
        <w:rPr>
          <w:rFonts w:ascii="仿宋" w:hAnsi="仿宋" w:eastAsia="仿宋"/>
          <w:b/>
          <w:bCs/>
          <w:sz w:val="24"/>
          <w:szCs w:val="24"/>
        </w:rPr>
        <w:t>满意度</w:t>
      </w:r>
      <w:r>
        <w:rPr>
          <w:rFonts w:ascii="Calibri" w:hAnsi="Calibri" w:eastAsia="仿宋" w:cs="Calibri"/>
          <w:b/>
          <w:bCs/>
          <w:sz w:val="24"/>
          <w:szCs w:val="24"/>
        </w:rPr>
        <w:t> </w:t>
      </w:r>
      <w:r>
        <w:rPr>
          <w:rFonts w:ascii="仿宋" w:hAnsi="仿宋" w:eastAsia="仿宋"/>
          <w:b/>
          <w:bCs/>
          <w:sz w:val="24"/>
          <w:szCs w:val="24"/>
        </w:rPr>
        <w:t>-</w:t>
      </w:r>
      <w:r>
        <w:rPr>
          <w:rFonts w:ascii="Calibri" w:hAnsi="Calibri" w:eastAsia="仿宋" w:cs="Calibri"/>
          <w:b/>
          <w:bCs/>
          <w:sz w:val="24"/>
          <w:szCs w:val="24"/>
        </w:rPr>
        <w:t> </w:t>
      </w:r>
      <w:r>
        <w:rPr>
          <w:rFonts w:ascii="仿宋" w:hAnsi="仿宋" w:eastAsia="仿宋"/>
          <w:b/>
          <w:bCs/>
          <w:sz w:val="24"/>
          <w:szCs w:val="24"/>
        </w:rPr>
        <w:t>医患满意度指标分析呈现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支持对门诊患者满意度、住院患者满意度、医务人员满意度3</w:t>
      </w:r>
      <w:r>
        <w:rPr>
          <w:rFonts w:ascii="Calibri" w:hAnsi="Calibri" w:eastAsia="仿宋" w:cs="Calibri"/>
          <w:sz w:val="24"/>
          <w:szCs w:val="24"/>
        </w:rPr>
        <w:t> </w:t>
      </w:r>
      <w:r>
        <w:rPr>
          <w:rFonts w:ascii="仿宋" w:hAnsi="仿宋" w:eastAsia="仿宋"/>
          <w:sz w:val="24"/>
          <w:szCs w:val="24"/>
        </w:rPr>
        <w:t>项指标的监测与对比分析。需遵循卫健委关于推动医疗机构人文服务的实施意见，以满意度数据为</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镜”，映照医疗服务温度；以数据联动为</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桥”，构建医患共生关系，驱动医院从</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技术中心”</w:t>
      </w:r>
      <w:r>
        <w:rPr>
          <w:rFonts w:ascii="Calibri" w:hAnsi="Calibri" w:eastAsia="仿宋" w:cs="Calibri"/>
          <w:sz w:val="24"/>
          <w:szCs w:val="24"/>
        </w:rPr>
        <w:t> </w:t>
      </w:r>
      <w:r>
        <w:rPr>
          <w:rFonts w:ascii="仿宋" w:hAnsi="仿宋" w:eastAsia="仿宋"/>
          <w:sz w:val="24"/>
          <w:szCs w:val="24"/>
        </w:rPr>
        <w:t>向</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人文</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技术双核”</w:t>
      </w:r>
      <w:r>
        <w:rPr>
          <w:rFonts w:ascii="Calibri" w:hAnsi="Calibri" w:eastAsia="仿宋" w:cs="Calibri"/>
          <w:sz w:val="24"/>
          <w:szCs w:val="24"/>
        </w:rPr>
        <w:t> </w:t>
      </w:r>
      <w:r>
        <w:rPr>
          <w:rFonts w:ascii="仿宋" w:hAnsi="仿宋" w:eastAsia="仿宋"/>
          <w:sz w:val="24"/>
          <w:szCs w:val="24"/>
        </w:rPr>
        <w:t>模式转型，实现对各医院服务质量的精准监测与效能评估。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2.1</w:t>
      </w:r>
      <w:r>
        <w:rPr>
          <w:rFonts w:hint="eastAsia" w:ascii="仿宋" w:hAnsi="仿宋" w:eastAsia="仿宋"/>
          <w:b/>
          <w:bCs/>
          <w:sz w:val="24"/>
          <w:szCs w:val="24"/>
        </w:rPr>
        <w:t>2</w:t>
      </w:r>
      <w:r>
        <w:rPr>
          <w:rFonts w:ascii="Calibri" w:hAnsi="Calibri" w:eastAsia="仿宋" w:cs="Calibri"/>
          <w:b/>
          <w:bCs/>
          <w:sz w:val="24"/>
          <w:szCs w:val="24"/>
        </w:rPr>
        <w:t> </w:t>
      </w:r>
      <w:r>
        <w:rPr>
          <w:rFonts w:ascii="仿宋" w:hAnsi="仿宋" w:eastAsia="仿宋"/>
          <w:b/>
          <w:bCs/>
          <w:sz w:val="24"/>
          <w:szCs w:val="24"/>
        </w:rPr>
        <w:t>重点监控高值医用耗材和医院相关医疗资源统计指标分析呈现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支持对重点监控高值医用耗材收入占比、编制床位数、实际开放床位、床位使用率、编制人数、合同制人数、卫生技术人员数7</w:t>
      </w:r>
      <w:r>
        <w:rPr>
          <w:rFonts w:ascii="Calibri" w:hAnsi="Calibri" w:eastAsia="仿宋" w:cs="Calibri"/>
          <w:sz w:val="24"/>
          <w:szCs w:val="24"/>
        </w:rPr>
        <w:t> </w:t>
      </w:r>
      <w:r>
        <w:rPr>
          <w:rFonts w:ascii="仿宋" w:hAnsi="仿宋" w:eastAsia="仿宋"/>
          <w:sz w:val="24"/>
          <w:szCs w:val="24"/>
        </w:rPr>
        <w:t>项指标的监测与统计分析。需紧扣卫健委关于医疗资源优化配置与高值医用耗材监管的改革导向，助力监管部门全面掌握医院耗材使用合规性与医疗资源配置合理性，为医疗资源高效利用与耗材精细化监管提供数据支撑。</w:t>
      </w:r>
    </w:p>
    <w:p w14:paraId="373C6826">
      <w:pPr>
        <w:pStyle w:val="31"/>
        <w:spacing w:line="360" w:lineRule="auto"/>
        <w:ind w:left="0" w:firstLine="482" w:firstLineChars="200"/>
        <w:rPr>
          <w:rFonts w:hint="eastAsia" w:ascii="仿宋" w:hAnsi="仿宋" w:eastAsia="仿宋"/>
          <w:sz w:val="24"/>
          <w:szCs w:val="24"/>
        </w:rPr>
      </w:pPr>
      <w:r>
        <w:rPr>
          <w:rFonts w:ascii="仿宋" w:hAnsi="仿宋" w:eastAsia="仿宋"/>
          <w:b/>
          <w:bCs/>
          <w:sz w:val="24"/>
          <w:szCs w:val="24"/>
        </w:rPr>
        <w:t>3</w:t>
      </w:r>
      <w:r>
        <w:rPr>
          <w:rFonts w:ascii="Calibri" w:hAnsi="Calibri" w:eastAsia="仿宋" w:cs="Calibri"/>
          <w:b/>
          <w:bCs/>
          <w:sz w:val="24"/>
          <w:szCs w:val="24"/>
        </w:rPr>
        <w:t> </w:t>
      </w:r>
      <w:r>
        <w:rPr>
          <w:rFonts w:ascii="仿宋" w:hAnsi="仿宋" w:eastAsia="仿宋"/>
          <w:b/>
          <w:bCs/>
          <w:sz w:val="24"/>
          <w:szCs w:val="24"/>
        </w:rPr>
        <w:t>病案</w:t>
      </w:r>
      <w:r>
        <w:rPr>
          <w:rFonts w:ascii="Calibri" w:hAnsi="Calibri" w:eastAsia="仿宋" w:cs="Calibri"/>
          <w:b/>
          <w:bCs/>
          <w:sz w:val="24"/>
          <w:szCs w:val="24"/>
        </w:rPr>
        <w:t> </w:t>
      </w:r>
      <w:r>
        <w:rPr>
          <w:rFonts w:ascii="仿宋" w:hAnsi="仿宋" w:eastAsia="仿宋"/>
          <w:b/>
          <w:bCs/>
          <w:sz w:val="24"/>
          <w:szCs w:val="24"/>
        </w:rPr>
        <w:t>HQMS</w:t>
      </w:r>
      <w:r>
        <w:rPr>
          <w:rFonts w:ascii="Calibri" w:hAnsi="Calibri" w:eastAsia="仿宋" w:cs="Calibri"/>
          <w:b/>
          <w:bCs/>
          <w:sz w:val="24"/>
          <w:szCs w:val="24"/>
        </w:rPr>
        <w:t> </w:t>
      </w:r>
      <w:r>
        <w:rPr>
          <w:rFonts w:ascii="仿宋" w:hAnsi="仿宋" w:eastAsia="仿宋"/>
          <w:b/>
          <w:bCs/>
          <w:sz w:val="24"/>
          <w:szCs w:val="24"/>
        </w:rPr>
        <w:t>数据功能</w:t>
      </w:r>
      <w:r>
        <w:rPr>
          <w:rFonts w:ascii="Cambria Math" w:hAnsi="Cambria Math" w:eastAsia="仿宋" w:cs="Cambria Math"/>
          <w:sz w:val="24"/>
          <w:szCs w:val="24"/>
        </w:rPr>
        <w:t>​</w:t>
      </w:r>
    </w:p>
    <w:p w14:paraId="590B53BC">
      <w:pPr>
        <w:pStyle w:val="31"/>
        <w:spacing w:line="360" w:lineRule="auto"/>
        <w:ind w:left="105" w:leftChars="50" w:firstLine="361" w:firstLineChars="150"/>
        <w:rPr>
          <w:rFonts w:hint="eastAsia" w:ascii="仿宋" w:hAnsi="仿宋" w:eastAsia="仿宋"/>
          <w:sz w:val="24"/>
          <w:szCs w:val="24"/>
        </w:rPr>
      </w:pPr>
      <w:r>
        <w:rPr>
          <w:rFonts w:ascii="仿宋" w:hAnsi="仿宋" w:eastAsia="仿宋"/>
          <w:b/>
          <w:bCs/>
          <w:sz w:val="24"/>
          <w:szCs w:val="24"/>
        </w:rPr>
        <w:t>3.1</w:t>
      </w:r>
      <w:r>
        <w:rPr>
          <w:rFonts w:ascii="Calibri" w:hAnsi="Calibri" w:eastAsia="仿宋" w:cs="Calibri"/>
          <w:b/>
          <w:bCs/>
          <w:sz w:val="24"/>
          <w:szCs w:val="24"/>
        </w:rPr>
        <w:t> </w:t>
      </w:r>
      <w:r>
        <w:rPr>
          <w:rFonts w:ascii="仿宋" w:hAnsi="仿宋" w:eastAsia="仿宋"/>
          <w:b/>
          <w:bCs/>
          <w:sz w:val="24"/>
          <w:szCs w:val="24"/>
        </w:rPr>
        <w:t>概览分析模块</w:t>
      </w:r>
      <w:r>
        <w:rPr>
          <w:rFonts w:ascii="Cambria Math" w:hAnsi="Cambria Math" w:eastAsia="仿宋" w:cs="Cambria Math"/>
          <w:b/>
          <w:bCs/>
          <w:sz w:val="24"/>
          <w:szCs w:val="24"/>
        </w:rPr>
        <w:t>​</w:t>
      </w:r>
    </w:p>
    <w:p w14:paraId="78AEB3E4">
      <w:pPr>
        <w:pStyle w:val="31"/>
        <w:spacing w:line="360" w:lineRule="auto"/>
        <w:ind w:left="105" w:leftChars="50" w:firstLine="361" w:firstLineChars="150"/>
        <w:rPr>
          <w:rFonts w:hint="eastAsia" w:ascii="仿宋" w:hAnsi="仿宋" w:eastAsia="仿宋"/>
          <w:sz w:val="24"/>
          <w:szCs w:val="24"/>
        </w:rPr>
      </w:pPr>
      <w:r>
        <w:rPr>
          <w:rFonts w:hint="eastAsia" w:ascii="仿宋" w:hAnsi="仿宋" w:eastAsia="仿宋"/>
          <w:b/>
          <w:bCs/>
          <w:sz w:val="24"/>
          <w:szCs w:val="24"/>
        </w:rPr>
        <w:t>3.1.1</w:t>
      </w:r>
      <w:r>
        <w:rPr>
          <w:rFonts w:ascii="仿宋" w:hAnsi="仿宋" w:eastAsia="仿宋"/>
          <w:sz w:val="24"/>
          <w:szCs w:val="24"/>
        </w:rPr>
        <w:t>需按机构类型（地市卫健委、三级综合医院、二级综合医院、专科医院）实现核心数据指标的差异化展示，重点支持出院人数、医疗费用等关键指标的横向对比，以及患者维度的多维度联动分析。针对总出院人数，需同步开展总手术占比及绝对值、四级手术占比及绝对值、三级手术占比及绝对值、微创手术占比及绝对值的专项分析；紧扣医改要求，支持医疗费用分类及占比的细化分析，且关键指标（如四级手术占比、总手术占比等）需满足</w:t>
      </w:r>
      <w:r>
        <w:rPr>
          <w:rFonts w:ascii="Calibri" w:hAnsi="Calibri" w:eastAsia="仿宋" w:cs="Calibri"/>
          <w:sz w:val="24"/>
          <w:szCs w:val="24"/>
        </w:rPr>
        <w:t> </w:t>
      </w:r>
      <w:r>
        <w:rPr>
          <w:rFonts w:ascii="仿宋" w:hAnsi="仿宋" w:eastAsia="仿宋"/>
          <w:sz w:val="24"/>
          <w:szCs w:val="24"/>
        </w:rPr>
        <w:t>2</w:t>
      </w:r>
      <w:r>
        <w:rPr>
          <w:rFonts w:ascii="Calibri" w:hAnsi="Calibri" w:eastAsia="仿宋" w:cs="Calibri"/>
          <w:sz w:val="24"/>
          <w:szCs w:val="24"/>
        </w:rPr>
        <w:t> </w:t>
      </w:r>
      <w:r>
        <w:rPr>
          <w:rFonts w:ascii="仿宋" w:hAnsi="仿宋" w:eastAsia="仿宋"/>
          <w:sz w:val="24"/>
          <w:szCs w:val="24"/>
        </w:rPr>
        <w:t>项及以上，同时实现指标当前数据与历史数据的直接对比。</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3.1.2</w:t>
      </w:r>
      <w:r>
        <w:rPr>
          <w:rFonts w:ascii="仿宋" w:hAnsi="仿宋" w:eastAsia="仿宋"/>
          <w:sz w:val="24"/>
          <w:szCs w:val="24"/>
        </w:rPr>
        <w:t>系统需具备数据与医院报表一键导入功能，支持按统计周期（年、季度、月）展示绩效指标的名称、数值及趋势，同步提供多维度详细图表筛选功能，可根据需求展示对应可视化图表，助力监管方与医院直观掌握数据动态。</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3.2</w:t>
      </w:r>
      <w:r>
        <w:rPr>
          <w:rFonts w:ascii="Calibri" w:hAnsi="Calibri" w:eastAsia="仿宋" w:cs="Calibri"/>
          <w:b/>
          <w:bCs/>
          <w:sz w:val="24"/>
          <w:szCs w:val="24"/>
        </w:rPr>
        <w:t> </w:t>
      </w:r>
      <w:r>
        <w:rPr>
          <w:rFonts w:ascii="仿宋" w:hAnsi="仿宋" w:eastAsia="仿宋"/>
          <w:b/>
          <w:bCs/>
          <w:sz w:val="24"/>
          <w:szCs w:val="24"/>
        </w:rPr>
        <w:t>手术指标分析模块</w:t>
      </w:r>
      <w:r>
        <w:rPr>
          <w:rFonts w:ascii="Cambria Math" w:hAnsi="Cambria Math" w:eastAsia="仿宋" w:cs="Cambria Math"/>
          <w:b/>
          <w:bCs/>
          <w:sz w:val="24"/>
          <w:szCs w:val="24"/>
        </w:rPr>
        <w:t>​</w:t>
      </w:r>
    </w:p>
    <w:p w14:paraId="2C956645">
      <w:pPr>
        <w:pStyle w:val="31"/>
        <w:spacing w:line="360" w:lineRule="auto"/>
        <w:ind w:left="105" w:leftChars="50" w:firstLine="360" w:firstLineChars="150"/>
        <w:rPr>
          <w:rFonts w:hint="eastAsia" w:ascii="仿宋" w:hAnsi="仿宋" w:eastAsia="仿宋"/>
          <w:sz w:val="24"/>
          <w:szCs w:val="24"/>
        </w:rPr>
      </w:pPr>
      <w:r>
        <w:rPr>
          <w:rFonts w:ascii="仿宋" w:hAnsi="仿宋" w:eastAsia="仿宋"/>
          <w:sz w:val="24"/>
          <w:szCs w:val="24"/>
        </w:rPr>
        <w:t>需严格遵循卫健委要求，对总手术占比、四级手术占比、微创手术占比、三级手术占比等核心手术指标实现科学预警，并直接关联各医院数据，支持多维度详细图表的筛选展示。具体功能包括：</w:t>
      </w:r>
      <w:r>
        <w:rPr>
          <w:rFonts w:ascii="Cambria Math" w:hAnsi="Cambria Math" w:eastAsia="仿宋" w:cs="Cambria Math"/>
          <w:sz w:val="24"/>
          <w:szCs w:val="24"/>
        </w:rPr>
        <w:t>​</w:t>
      </w:r>
    </w:p>
    <w:p w14:paraId="490CA0C3">
      <w:pPr>
        <w:pStyle w:val="31"/>
        <w:spacing w:line="360" w:lineRule="auto"/>
        <w:ind w:left="105" w:leftChars="50" w:firstLine="361" w:firstLineChars="150"/>
        <w:rPr>
          <w:rFonts w:hint="eastAsia" w:ascii="仿宋" w:hAnsi="仿宋" w:eastAsia="仿宋"/>
          <w:sz w:val="24"/>
          <w:szCs w:val="24"/>
        </w:rPr>
      </w:pPr>
      <w:r>
        <w:rPr>
          <w:rFonts w:hint="eastAsia" w:ascii="仿宋" w:hAnsi="仿宋" w:eastAsia="仿宋"/>
          <w:b/>
          <w:bCs/>
          <w:sz w:val="24"/>
          <w:szCs w:val="24"/>
        </w:rPr>
        <w:t>3.2.1</w:t>
      </w:r>
      <w:r>
        <w:rPr>
          <w:rFonts w:ascii="仿宋" w:hAnsi="仿宋" w:eastAsia="仿宋"/>
          <w:b/>
          <w:bCs/>
          <w:sz w:val="24"/>
          <w:szCs w:val="24"/>
        </w:rPr>
        <w:t>周期筛选分析</w:t>
      </w:r>
    </w:p>
    <w:p w14:paraId="35E1D383">
      <w:pPr>
        <w:pStyle w:val="31"/>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支持对</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手术占比及绝对值、四级手术占比及绝对值、微创手术占比及绝对值、三级手术占比及绝对值”</w:t>
      </w:r>
      <w:r>
        <w:rPr>
          <w:rFonts w:ascii="Calibri" w:hAnsi="Calibri" w:eastAsia="仿宋" w:cs="Calibri"/>
          <w:sz w:val="24"/>
          <w:szCs w:val="24"/>
        </w:rPr>
        <w:t> </w:t>
      </w:r>
      <w:r>
        <w:rPr>
          <w:rFonts w:ascii="仿宋" w:hAnsi="仿宋" w:eastAsia="仿宋"/>
          <w:sz w:val="24"/>
          <w:szCs w:val="24"/>
        </w:rPr>
        <w:t>按月度、季度进行指标筛选与深度分析；</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关联指标分析：针对手术数据，同步关联展示出院人数、平均住院日及过程性指标，实现手术相关数据的全景化呈现；</w:t>
      </w:r>
      <w:r>
        <w:rPr>
          <w:rFonts w:ascii="Cambria Math" w:hAnsi="Cambria Math" w:eastAsia="仿宋" w:cs="Cambria Math"/>
          <w:sz w:val="24"/>
          <w:szCs w:val="24"/>
        </w:rPr>
        <w:t>​</w:t>
      </w:r>
    </w:p>
    <w:p w14:paraId="3D109E52">
      <w:pPr>
        <w:pStyle w:val="31"/>
        <w:spacing w:line="360" w:lineRule="auto"/>
        <w:ind w:left="105" w:leftChars="50" w:firstLine="361" w:firstLineChars="150"/>
        <w:rPr>
          <w:rFonts w:hint="eastAsia" w:ascii="仿宋" w:hAnsi="仿宋" w:eastAsia="仿宋"/>
          <w:b/>
          <w:bCs/>
          <w:sz w:val="24"/>
          <w:szCs w:val="24"/>
        </w:rPr>
      </w:pPr>
      <w:r>
        <w:rPr>
          <w:rFonts w:hint="eastAsia" w:ascii="仿宋" w:hAnsi="仿宋" w:eastAsia="仿宋"/>
          <w:b/>
          <w:bCs/>
          <w:sz w:val="24"/>
          <w:szCs w:val="24"/>
        </w:rPr>
        <w:t>3.2.2</w:t>
      </w:r>
      <w:r>
        <w:rPr>
          <w:rFonts w:ascii="仿宋" w:hAnsi="仿宋" w:eastAsia="仿宋"/>
          <w:b/>
          <w:bCs/>
          <w:sz w:val="24"/>
          <w:szCs w:val="24"/>
        </w:rPr>
        <w:t>科室维度分析</w:t>
      </w:r>
    </w:p>
    <w:p w14:paraId="532794E4">
      <w:pPr>
        <w:pStyle w:val="31"/>
        <w:spacing w:line="360" w:lineRule="auto"/>
        <w:ind w:left="105" w:leftChars="50" w:firstLine="480" w:firstLineChars="200"/>
        <w:rPr>
          <w:rFonts w:hint="eastAsia" w:ascii="仿宋" w:hAnsi="仿宋" w:eastAsia="仿宋"/>
          <w:b/>
          <w:bCs/>
          <w:sz w:val="24"/>
          <w:szCs w:val="24"/>
        </w:rPr>
      </w:pPr>
      <w:r>
        <w:rPr>
          <w:rFonts w:ascii="仿宋" w:hAnsi="仿宋" w:eastAsia="仿宋"/>
          <w:sz w:val="24"/>
          <w:szCs w:val="24"/>
        </w:rPr>
        <w:t>支持针对目标科室的</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手术占比及绝对值、四级手术占比及绝对值、微创手术占比及绝对值”</w:t>
      </w:r>
      <w:r>
        <w:rPr>
          <w:rFonts w:ascii="Calibri" w:hAnsi="Calibri" w:eastAsia="仿宋" w:cs="Calibri"/>
          <w:sz w:val="24"/>
          <w:szCs w:val="24"/>
        </w:rPr>
        <w:t> </w:t>
      </w:r>
      <w:r>
        <w:rPr>
          <w:rFonts w:ascii="仿宋" w:hAnsi="仿宋" w:eastAsia="仿宋"/>
          <w:sz w:val="24"/>
          <w:szCs w:val="24"/>
        </w:rPr>
        <w:t>开展二级及以上维度的筛选分析；</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3.2.3</w:t>
      </w:r>
      <w:r>
        <w:rPr>
          <w:rFonts w:ascii="仿宋" w:hAnsi="仿宋" w:eastAsia="仿宋"/>
          <w:b/>
          <w:bCs/>
          <w:sz w:val="24"/>
          <w:szCs w:val="24"/>
        </w:rPr>
        <w:t>安全指标可视化</w:t>
      </w:r>
    </w:p>
    <w:p w14:paraId="3E4F65DE">
      <w:pPr>
        <w:pStyle w:val="31"/>
        <w:spacing w:line="360" w:lineRule="auto"/>
        <w:ind w:left="105" w:leftChars="50" w:firstLine="480" w:firstLineChars="200"/>
        <w:rPr>
          <w:rFonts w:hint="eastAsia" w:ascii="仿宋" w:hAnsi="仿宋" w:eastAsia="仿宋"/>
          <w:b/>
          <w:bCs/>
          <w:sz w:val="24"/>
          <w:szCs w:val="24"/>
        </w:rPr>
      </w:pPr>
      <w:r>
        <w:rPr>
          <w:rFonts w:ascii="仿宋" w:hAnsi="仿宋" w:eastAsia="仿宋"/>
          <w:sz w:val="24"/>
          <w:szCs w:val="24"/>
        </w:rPr>
        <w:t>支持手术并发症指标、I</w:t>
      </w:r>
      <w:r>
        <w:rPr>
          <w:rFonts w:ascii="Calibri" w:hAnsi="Calibri" w:eastAsia="仿宋" w:cs="Calibri"/>
          <w:sz w:val="24"/>
          <w:szCs w:val="24"/>
        </w:rPr>
        <w:t> </w:t>
      </w:r>
      <w:r>
        <w:rPr>
          <w:rFonts w:ascii="仿宋" w:hAnsi="仿宋" w:eastAsia="仿宋"/>
          <w:sz w:val="24"/>
          <w:szCs w:val="24"/>
        </w:rPr>
        <w:t>类切口指标、非计划再住院率指标、低风险组指标的可视化分析，且数据需细化至各医院层面呈现；</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3.2.4</w:t>
      </w:r>
      <w:r>
        <w:rPr>
          <w:rFonts w:ascii="仿宋" w:hAnsi="仿宋" w:eastAsia="仿宋"/>
          <w:b/>
          <w:bCs/>
          <w:sz w:val="24"/>
          <w:szCs w:val="24"/>
        </w:rPr>
        <w:t>模型化深度分析</w:t>
      </w:r>
    </w:p>
    <w:p w14:paraId="5D0F7A68">
      <w:pPr>
        <w:pStyle w:val="31"/>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应用统计学分析大模型开展自定义分析，针对三级综合医院、二级综合医院、专科医院，深入分析</w:t>
      </w:r>
      <w:r>
        <w:rPr>
          <w:rFonts w:ascii="Calibri" w:hAnsi="Calibri" w:eastAsia="仿宋" w:cs="Calibri"/>
          <w:sz w:val="24"/>
          <w:szCs w:val="24"/>
        </w:rPr>
        <w:t> </w:t>
      </w:r>
      <w:r>
        <w:rPr>
          <w:rFonts w:ascii="仿宋" w:hAnsi="仿宋" w:eastAsia="仿宋"/>
          <w:sz w:val="24"/>
          <w:szCs w:val="24"/>
        </w:rPr>
        <w:t>5</w:t>
      </w:r>
      <w:r>
        <w:rPr>
          <w:rFonts w:ascii="Calibri" w:hAnsi="Calibri" w:eastAsia="仿宋" w:cs="Calibri"/>
          <w:sz w:val="24"/>
          <w:szCs w:val="24"/>
        </w:rPr>
        <w:t> </w:t>
      </w:r>
      <w:r>
        <w:rPr>
          <w:rFonts w:ascii="仿宋" w:hAnsi="仿宋" w:eastAsia="仿宋"/>
          <w:sz w:val="24"/>
          <w:szCs w:val="24"/>
        </w:rPr>
        <w:t>项及以上指标（如出院人数、总手术人数、四级手术人数、三级手术人数等）的内在关联，为</w:t>
      </w:r>
      <w:r>
        <w:rPr>
          <w:rFonts w:ascii="Calibri" w:hAnsi="Calibri" w:eastAsia="仿宋" w:cs="Calibri"/>
          <w:sz w:val="24"/>
          <w:szCs w:val="24"/>
        </w:rPr>
        <w:t> </w:t>
      </w:r>
      <w:r>
        <w:rPr>
          <w:rFonts w:ascii="仿宋" w:hAnsi="仿宋" w:eastAsia="仿宋"/>
          <w:sz w:val="24"/>
          <w:szCs w:val="24"/>
        </w:rPr>
        <w:t>KPI</w:t>
      </w:r>
      <w:r>
        <w:rPr>
          <w:rFonts w:ascii="Calibri" w:hAnsi="Calibri" w:eastAsia="仿宋" w:cs="Calibri"/>
          <w:sz w:val="24"/>
          <w:szCs w:val="24"/>
        </w:rPr>
        <w:t> </w:t>
      </w:r>
      <w:r>
        <w:rPr>
          <w:rFonts w:ascii="仿宋" w:hAnsi="仿宋" w:eastAsia="仿宋"/>
          <w:sz w:val="24"/>
          <w:szCs w:val="24"/>
        </w:rPr>
        <w:t>指标设定提供数据支撑。</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3.3</w:t>
      </w:r>
      <w:r>
        <w:rPr>
          <w:rFonts w:ascii="Calibri" w:hAnsi="Calibri" w:eastAsia="仿宋" w:cs="Calibri"/>
          <w:b/>
          <w:bCs/>
          <w:sz w:val="24"/>
          <w:szCs w:val="24"/>
        </w:rPr>
        <w:t> </w:t>
      </w:r>
      <w:r>
        <w:rPr>
          <w:rFonts w:ascii="仿宋" w:hAnsi="仿宋" w:eastAsia="仿宋"/>
          <w:b/>
          <w:bCs/>
          <w:sz w:val="24"/>
          <w:szCs w:val="24"/>
        </w:rPr>
        <w:t>病种指标分析模块</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需按卫健委要求，针对规定单病种应用统计学分析大模型开展自定义分析，至少覆盖</w:t>
      </w:r>
      <w:r>
        <w:rPr>
          <w:rFonts w:ascii="Calibri" w:hAnsi="Calibri" w:eastAsia="仿宋" w:cs="Calibri"/>
          <w:sz w:val="24"/>
          <w:szCs w:val="24"/>
        </w:rPr>
        <w:t> </w:t>
      </w:r>
      <w:r>
        <w:rPr>
          <w:rFonts w:ascii="仿宋" w:hAnsi="仿宋" w:eastAsia="仿宋"/>
          <w:sz w:val="24"/>
          <w:szCs w:val="24"/>
        </w:rPr>
        <w:t>3</w:t>
      </w:r>
      <w:r>
        <w:rPr>
          <w:rFonts w:ascii="Calibri" w:hAnsi="Calibri" w:eastAsia="仿宋" w:cs="Calibri"/>
          <w:sz w:val="24"/>
          <w:szCs w:val="24"/>
        </w:rPr>
        <w:t> </w:t>
      </w:r>
      <w:r>
        <w:rPr>
          <w:rFonts w:ascii="仿宋" w:hAnsi="仿宋" w:eastAsia="仿宋"/>
          <w:sz w:val="24"/>
          <w:szCs w:val="24"/>
        </w:rPr>
        <w:t>项及以上核心指标（如总病例数、病死率等）的专项分析；同时支持单病种核心指标的数据联动分析，实现病种数据的关联查询与深度挖掘，助力精准掌握单病种诊疗质量。</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3.4</w:t>
      </w:r>
      <w:r>
        <w:rPr>
          <w:rFonts w:ascii="Calibri" w:hAnsi="Calibri" w:eastAsia="仿宋" w:cs="Calibri"/>
          <w:b/>
          <w:bCs/>
          <w:sz w:val="24"/>
          <w:szCs w:val="24"/>
        </w:rPr>
        <w:t> </w:t>
      </w:r>
      <w:r>
        <w:rPr>
          <w:rFonts w:ascii="仿宋" w:hAnsi="仿宋" w:eastAsia="仿宋"/>
          <w:b/>
          <w:bCs/>
          <w:sz w:val="24"/>
          <w:szCs w:val="24"/>
        </w:rPr>
        <w:t>费用指标分析模块</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需紧扣卫健委监管要求，支持医疗费用占比的精细化分析，可按时间维度（年、季度、月）与医院维度进行数据拆分与深入研判；具体功能包括：</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3.4.1</w:t>
      </w:r>
      <w:r>
        <w:rPr>
          <w:rFonts w:ascii="仿宋" w:hAnsi="仿宋" w:eastAsia="仿宋"/>
          <w:b/>
          <w:bCs/>
          <w:sz w:val="24"/>
          <w:szCs w:val="24"/>
        </w:rPr>
        <w:t>关键费用指标呈现</w:t>
      </w:r>
    </w:p>
    <w:p w14:paraId="04035D63">
      <w:pPr>
        <w:pStyle w:val="31"/>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对住院</w:t>
      </w:r>
      <w:r>
        <w:rPr>
          <w:rFonts w:ascii="Calibri" w:hAnsi="Calibri" w:eastAsia="仿宋" w:cs="Calibri"/>
          <w:sz w:val="24"/>
          <w:szCs w:val="24"/>
        </w:rPr>
        <w:t> </w:t>
      </w:r>
      <w:r>
        <w:rPr>
          <w:rFonts w:hint="eastAsia" w:ascii="仿宋" w:hAnsi="仿宋" w:eastAsia="仿宋" w:cs="仿宋"/>
          <w:sz w:val="24"/>
          <w:szCs w:val="24"/>
        </w:rPr>
        <w:t>“</w:t>
      </w:r>
      <w:r>
        <w:rPr>
          <w:rFonts w:ascii="仿宋" w:hAnsi="仿宋" w:eastAsia="仿宋"/>
          <w:sz w:val="24"/>
          <w:szCs w:val="24"/>
        </w:rPr>
        <w:t>次均费用增幅”“次均药费增幅”</w:t>
      </w:r>
      <w:r>
        <w:rPr>
          <w:rFonts w:ascii="Calibri" w:hAnsi="Calibri" w:eastAsia="仿宋" w:cs="Calibri"/>
          <w:sz w:val="24"/>
          <w:szCs w:val="24"/>
        </w:rPr>
        <w:t> </w:t>
      </w:r>
      <w:r>
        <w:rPr>
          <w:rFonts w:ascii="仿宋" w:hAnsi="仿宋" w:eastAsia="仿宋"/>
          <w:sz w:val="24"/>
          <w:szCs w:val="24"/>
        </w:rPr>
        <w:t>指标的结果进行重点呈现，同步以线型图展示指标变化趋势，直观反映费用波动情况</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3.4.2</w:t>
      </w:r>
      <w:r>
        <w:rPr>
          <w:rFonts w:ascii="仿宋" w:hAnsi="仿宋" w:eastAsia="仿宋"/>
          <w:b/>
          <w:bCs/>
          <w:sz w:val="24"/>
          <w:szCs w:val="24"/>
        </w:rPr>
        <w:t>对比分析</w:t>
      </w:r>
    </w:p>
    <w:p w14:paraId="794E82D7">
      <w:pPr>
        <w:pStyle w:val="31"/>
        <w:spacing w:line="360" w:lineRule="auto"/>
        <w:ind w:left="105" w:leftChars="50" w:firstLine="480" w:firstLineChars="200"/>
        <w:rPr>
          <w:rFonts w:hint="eastAsia" w:ascii="仿宋" w:hAnsi="仿宋" w:eastAsia="仿宋"/>
          <w:b/>
          <w:bCs/>
          <w:sz w:val="24"/>
          <w:szCs w:val="24"/>
        </w:rPr>
      </w:pPr>
      <w:r>
        <w:rPr>
          <w:rFonts w:ascii="仿宋" w:hAnsi="仿宋" w:eastAsia="仿宋"/>
          <w:sz w:val="24"/>
          <w:szCs w:val="24"/>
        </w:rPr>
        <w:t>应用统计学分析大模型开展自定义分析，对各医院的门诊次均费用、住院次均费用，以及门诊次均费用增幅、住院次均费用增幅、门诊次均药费增幅、住院次均药费增幅进行横向对比</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3.4.3</w:t>
      </w:r>
      <w:r>
        <w:rPr>
          <w:rFonts w:ascii="仿宋" w:hAnsi="仿宋" w:eastAsia="仿宋"/>
          <w:b/>
          <w:bCs/>
          <w:sz w:val="24"/>
          <w:szCs w:val="24"/>
        </w:rPr>
        <w:t>下钻分析</w:t>
      </w:r>
    </w:p>
    <w:p w14:paraId="654978E3">
      <w:pPr>
        <w:pStyle w:val="31"/>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支持费用收入构成的多维度下钻分析，可按时间维度（年、季度、月）与医院维度拆分数据，实现费用结构的层层拆解与精准溯源。</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3.5</w:t>
      </w:r>
      <w:r>
        <w:rPr>
          <w:rFonts w:ascii="Calibri" w:hAnsi="Calibri" w:eastAsia="仿宋" w:cs="Calibri"/>
          <w:b/>
          <w:bCs/>
          <w:sz w:val="24"/>
          <w:szCs w:val="24"/>
        </w:rPr>
        <w:t> </w:t>
      </w:r>
      <w:r>
        <w:rPr>
          <w:rFonts w:ascii="仿宋" w:hAnsi="仿宋" w:eastAsia="仿宋"/>
          <w:b/>
          <w:bCs/>
          <w:sz w:val="24"/>
          <w:szCs w:val="24"/>
        </w:rPr>
        <w:t>基础数据维护模块</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需支持病案</w:t>
      </w:r>
      <w:r>
        <w:rPr>
          <w:rFonts w:ascii="Calibri" w:hAnsi="Calibri" w:eastAsia="仿宋" w:cs="Calibri"/>
          <w:sz w:val="24"/>
          <w:szCs w:val="24"/>
        </w:rPr>
        <w:t> </w:t>
      </w:r>
      <w:r>
        <w:rPr>
          <w:rFonts w:ascii="仿宋" w:hAnsi="仿宋" w:eastAsia="仿宋"/>
          <w:sz w:val="24"/>
          <w:szCs w:val="24"/>
        </w:rPr>
        <w:t>HQMS</w:t>
      </w:r>
      <w:r>
        <w:rPr>
          <w:rFonts w:ascii="Calibri" w:hAnsi="Calibri" w:eastAsia="仿宋" w:cs="Calibri"/>
          <w:sz w:val="24"/>
          <w:szCs w:val="24"/>
        </w:rPr>
        <w:t> </w:t>
      </w:r>
      <w:r>
        <w:rPr>
          <w:rFonts w:ascii="仿宋" w:hAnsi="仿宋" w:eastAsia="仿宋"/>
          <w:sz w:val="24"/>
          <w:szCs w:val="24"/>
        </w:rPr>
        <w:t>数据的一键导入功能，同时对上传数据开展实时质控，及时反馈质控结果（如数据缺失、格式错误、逻辑矛盾等），确保导入数据的准确性与合规性，为后续分析应用奠定数据基础。</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3.6</w:t>
      </w:r>
      <w:r>
        <w:rPr>
          <w:rFonts w:ascii="Calibri" w:hAnsi="Calibri" w:eastAsia="仿宋" w:cs="Calibri"/>
          <w:b/>
          <w:bCs/>
          <w:sz w:val="24"/>
          <w:szCs w:val="24"/>
        </w:rPr>
        <w:t> </w:t>
      </w:r>
      <w:r>
        <w:rPr>
          <w:rFonts w:ascii="仿宋" w:hAnsi="仿宋" w:eastAsia="仿宋"/>
          <w:b/>
          <w:bCs/>
          <w:sz w:val="24"/>
          <w:szCs w:val="24"/>
        </w:rPr>
        <w:t>访问权限设置和数据准备</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3.6.1</w:t>
      </w:r>
      <w:r>
        <w:rPr>
          <w:rFonts w:ascii="仿宋" w:hAnsi="仿宋" w:eastAsia="仿宋"/>
          <w:b/>
          <w:bCs/>
          <w:sz w:val="24"/>
          <w:szCs w:val="24"/>
        </w:rPr>
        <w:t>权限管控</w:t>
      </w:r>
    </w:p>
    <w:p w14:paraId="093FB75C">
      <w:pPr>
        <w:pStyle w:val="31"/>
        <w:spacing w:line="360" w:lineRule="auto"/>
        <w:ind w:left="105" w:leftChars="50" w:firstLine="480" w:firstLineChars="200"/>
        <w:rPr>
          <w:rFonts w:hint="eastAsia" w:ascii="仿宋" w:hAnsi="仿宋" w:eastAsia="仿宋"/>
          <w:sz w:val="24"/>
          <w:szCs w:val="24"/>
        </w:rPr>
      </w:pPr>
      <w:r>
        <w:rPr>
          <w:rFonts w:ascii="仿宋" w:hAnsi="仿宋" w:eastAsia="仿宋"/>
          <w:sz w:val="24"/>
          <w:szCs w:val="24"/>
        </w:rPr>
        <w:t>支持通过分发账号密码设定用户的编辑权限与查看权限，实现数据安全性管理；明确区分数据权限管理端与访问端，确保权限边界清晰，避免数据越权操作</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3.6.2</w:t>
      </w:r>
      <w:r>
        <w:rPr>
          <w:rFonts w:ascii="仿宋" w:hAnsi="仿宋" w:eastAsia="仿宋"/>
          <w:b/>
          <w:bCs/>
          <w:sz w:val="24"/>
          <w:szCs w:val="24"/>
        </w:rPr>
        <w:t>自定义权限</w:t>
      </w:r>
    </w:p>
    <w:p w14:paraId="13A56F79">
      <w:pPr>
        <w:pStyle w:val="31"/>
        <w:spacing w:line="360" w:lineRule="auto"/>
        <w:ind w:left="0" w:firstLine="480" w:firstLineChars="200"/>
        <w:rPr>
          <w:rFonts w:hint="eastAsia" w:ascii="仿宋" w:hAnsi="仿宋" w:eastAsia="仿宋"/>
          <w:sz w:val="24"/>
          <w:szCs w:val="24"/>
        </w:rPr>
      </w:pPr>
      <w:r>
        <w:rPr>
          <w:rFonts w:ascii="仿宋" w:hAnsi="仿宋" w:eastAsia="仿宋"/>
          <w:sz w:val="24"/>
          <w:szCs w:val="24"/>
        </w:rPr>
        <w:t>支持根据医院实际业务需求，灵活设定不同角色的访问权限与数据管理权限，适配多样化管理场景</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3.6.3</w:t>
      </w:r>
      <w:r>
        <w:rPr>
          <w:rFonts w:ascii="仿宋" w:hAnsi="仿宋" w:eastAsia="仿宋"/>
          <w:b/>
          <w:bCs/>
          <w:sz w:val="24"/>
          <w:szCs w:val="24"/>
        </w:rPr>
        <w:t>数据准备</w:t>
      </w:r>
    </w:p>
    <w:p w14:paraId="21D9A260">
      <w:pPr>
        <w:pStyle w:val="31"/>
        <w:spacing w:line="360" w:lineRule="auto"/>
        <w:ind w:left="0" w:firstLine="480" w:firstLineChars="200"/>
        <w:rPr>
          <w:rFonts w:hint="eastAsia" w:ascii="仿宋" w:hAnsi="仿宋" w:eastAsia="仿宋"/>
          <w:sz w:val="24"/>
          <w:szCs w:val="24"/>
        </w:rPr>
      </w:pPr>
      <w:r>
        <w:rPr>
          <w:rFonts w:ascii="仿宋" w:hAnsi="仿宋" w:eastAsia="仿宋"/>
          <w:sz w:val="24"/>
          <w:szCs w:val="24"/>
        </w:rPr>
        <w:t>支持按月录入病案</w:t>
      </w:r>
      <w:r>
        <w:rPr>
          <w:rFonts w:ascii="Calibri" w:hAnsi="Calibri" w:eastAsia="仿宋" w:cs="Calibri"/>
          <w:sz w:val="24"/>
          <w:szCs w:val="24"/>
        </w:rPr>
        <w:t> </w:t>
      </w:r>
      <w:r>
        <w:rPr>
          <w:rFonts w:ascii="仿宋" w:hAnsi="仿宋" w:eastAsia="仿宋"/>
          <w:sz w:val="24"/>
          <w:szCs w:val="24"/>
        </w:rPr>
        <w:t>HQMS</w:t>
      </w:r>
      <w:r>
        <w:rPr>
          <w:rFonts w:ascii="Calibri" w:hAnsi="Calibri" w:eastAsia="仿宋" w:cs="Calibri"/>
          <w:sz w:val="24"/>
          <w:szCs w:val="24"/>
        </w:rPr>
        <w:t> </w:t>
      </w:r>
      <w:r>
        <w:rPr>
          <w:rFonts w:ascii="仿宋" w:hAnsi="仿宋" w:eastAsia="仿宋"/>
          <w:sz w:val="24"/>
          <w:szCs w:val="24"/>
        </w:rPr>
        <w:t>数据及医院报表，同步具备数据一键导入功能，并对导入数据的准确性进行结果分析，确保数据质量符合分析与监管要求。</w:t>
      </w:r>
      <w:r>
        <w:rPr>
          <w:rFonts w:ascii="Cambria Math" w:hAnsi="Cambria Math" w:eastAsia="仿宋" w:cs="Cambria Math"/>
          <w:sz w:val="24"/>
          <w:szCs w:val="24"/>
        </w:rPr>
        <w:t>​</w:t>
      </w:r>
    </w:p>
    <w:p w14:paraId="4E4963CE">
      <w:pPr>
        <w:pStyle w:val="31"/>
        <w:spacing w:line="360" w:lineRule="auto"/>
        <w:ind w:left="105" w:leftChars="50" w:firstLine="361" w:firstLineChars="150"/>
        <w:rPr>
          <w:rFonts w:hint="eastAsia" w:ascii="仿宋" w:hAnsi="仿宋" w:eastAsia="仿宋"/>
          <w:sz w:val="24"/>
          <w:szCs w:val="24"/>
        </w:rPr>
      </w:pPr>
      <w:r>
        <w:rPr>
          <w:rFonts w:ascii="仿宋" w:hAnsi="仿宋" w:eastAsia="仿宋"/>
          <w:b/>
          <w:bCs/>
          <w:sz w:val="24"/>
          <w:szCs w:val="24"/>
        </w:rPr>
        <w:t>4</w:t>
      </w:r>
      <w:r>
        <w:rPr>
          <w:rFonts w:hint="eastAsia" w:ascii="仿宋" w:hAnsi="仿宋" w:eastAsia="仿宋"/>
          <w:b/>
          <w:bCs/>
          <w:sz w:val="24"/>
          <w:szCs w:val="24"/>
        </w:rPr>
        <w:t>、</w:t>
      </w:r>
      <w:r>
        <w:rPr>
          <w:rFonts w:ascii="仿宋" w:hAnsi="仿宋" w:eastAsia="仿宋"/>
          <w:b/>
          <w:bCs/>
          <w:sz w:val="24"/>
          <w:szCs w:val="24"/>
        </w:rPr>
        <w:t>性能要求</w:t>
      </w:r>
      <w:r>
        <w:rPr>
          <w:rFonts w:ascii="Cambria Math" w:hAnsi="Cambria Math" w:eastAsia="仿宋" w:cs="Cambria Math"/>
          <w:sz w:val="24"/>
          <w:szCs w:val="24"/>
        </w:rPr>
        <w:t>​</w:t>
      </w:r>
    </w:p>
    <w:p w14:paraId="3398A644">
      <w:pPr>
        <w:pStyle w:val="31"/>
        <w:spacing w:line="360" w:lineRule="auto"/>
        <w:ind w:left="105" w:leftChars="50" w:firstLine="361" w:firstLineChars="150"/>
        <w:rPr>
          <w:rFonts w:hint="eastAsia" w:ascii="仿宋" w:hAnsi="仿宋" w:eastAsia="仿宋"/>
          <w:sz w:val="24"/>
          <w:szCs w:val="24"/>
        </w:rPr>
      </w:pPr>
      <w:r>
        <w:rPr>
          <w:rFonts w:ascii="仿宋" w:hAnsi="仿宋" w:eastAsia="仿宋"/>
          <w:b/>
          <w:bCs/>
          <w:sz w:val="24"/>
          <w:szCs w:val="24"/>
        </w:rPr>
        <w:t>4.1</w:t>
      </w:r>
      <w:r>
        <w:rPr>
          <w:rFonts w:ascii="Calibri" w:hAnsi="Calibri" w:eastAsia="仿宋" w:cs="Calibri"/>
          <w:b/>
          <w:bCs/>
          <w:sz w:val="24"/>
          <w:szCs w:val="24"/>
        </w:rPr>
        <w:t> </w:t>
      </w:r>
      <w:r>
        <w:rPr>
          <w:rFonts w:ascii="仿宋" w:hAnsi="仿宋" w:eastAsia="仿宋"/>
          <w:b/>
          <w:bCs/>
          <w:sz w:val="24"/>
          <w:szCs w:val="24"/>
        </w:rPr>
        <w:t>可靠性需求</w:t>
      </w:r>
      <w:r>
        <w:rPr>
          <w:rFonts w:ascii="Cambria Math" w:hAnsi="Cambria Math" w:eastAsia="仿宋" w:cs="Cambria Math"/>
          <w:sz w:val="24"/>
          <w:szCs w:val="24"/>
        </w:rPr>
        <w:t>​</w:t>
      </w:r>
    </w:p>
    <w:p w14:paraId="7A4D0F4E">
      <w:pPr>
        <w:pStyle w:val="31"/>
        <w:spacing w:line="360" w:lineRule="auto"/>
        <w:ind w:left="0" w:firstLine="480" w:firstLineChars="200"/>
        <w:rPr>
          <w:rFonts w:hint="eastAsia"/>
        </w:rPr>
      </w:pPr>
      <w:r>
        <w:rPr>
          <w:rFonts w:ascii="仿宋" w:hAnsi="仿宋" w:eastAsia="仿宋"/>
          <w:sz w:val="24"/>
          <w:szCs w:val="24"/>
        </w:rPr>
        <w:t>保障</w:t>
      </w:r>
      <w:r>
        <w:rPr>
          <w:rFonts w:ascii="Calibri" w:hAnsi="Calibri" w:eastAsia="仿宋" w:cs="Calibri"/>
          <w:sz w:val="24"/>
          <w:szCs w:val="24"/>
        </w:rPr>
        <w:t> </w:t>
      </w:r>
      <w:r>
        <w:rPr>
          <w:rFonts w:ascii="仿宋" w:hAnsi="仿宋" w:eastAsia="仿宋"/>
          <w:sz w:val="24"/>
          <w:szCs w:val="24"/>
        </w:rPr>
        <w:t>7</w:t>
      </w:r>
      <w:r>
        <w:rPr>
          <w:rFonts w:hint="eastAsia" w:ascii="仿宋" w:hAnsi="仿宋" w:eastAsia="仿宋" w:cs="仿宋"/>
          <w:sz w:val="24"/>
          <w:szCs w:val="24"/>
        </w:rPr>
        <w:t>×</w:t>
      </w:r>
      <w:r>
        <w:rPr>
          <w:rFonts w:ascii="仿宋" w:hAnsi="仿宋" w:eastAsia="仿宋"/>
          <w:sz w:val="24"/>
          <w:szCs w:val="24"/>
        </w:rPr>
        <w:t>24</w:t>
      </w:r>
      <w:r>
        <w:rPr>
          <w:rFonts w:ascii="Calibri" w:hAnsi="Calibri" w:eastAsia="仿宋" w:cs="Calibri"/>
          <w:sz w:val="24"/>
          <w:szCs w:val="24"/>
        </w:rPr>
        <w:t> </w:t>
      </w:r>
      <w:r>
        <w:rPr>
          <w:rFonts w:ascii="仿宋" w:hAnsi="仿宋" w:eastAsia="仿宋"/>
          <w:sz w:val="24"/>
          <w:szCs w:val="24"/>
        </w:rPr>
        <w:t>小时不间断服务，服务可用性达</w:t>
      </w:r>
      <w:r>
        <w:rPr>
          <w:rFonts w:ascii="Calibri" w:hAnsi="Calibri" w:eastAsia="仿宋" w:cs="Calibri"/>
          <w:sz w:val="24"/>
          <w:szCs w:val="24"/>
        </w:rPr>
        <w:t> </w:t>
      </w:r>
      <w:r>
        <w:rPr>
          <w:rFonts w:ascii="仿宋" w:hAnsi="仿宋" w:eastAsia="仿宋"/>
          <w:sz w:val="24"/>
          <w:szCs w:val="24"/>
        </w:rPr>
        <w:t>99.99%；通过冗余设计、故障自动检测与恢复机制，确保监管查询、指标分析、数据上报等核心业务连续运行。</w:t>
      </w:r>
      <w:r>
        <w:rPr>
          <w:rFonts w:hint="eastAsia" w:ascii="仿宋" w:hAnsi="仿宋" w:eastAsia="仿宋"/>
          <w:sz w:val="24"/>
          <w:szCs w:val="24"/>
        </w:rPr>
        <w:t xml:space="preserve">  </w:t>
      </w:r>
      <w:r>
        <w:rPr>
          <w:rFonts w:hint="eastAsia"/>
        </w:rPr>
        <w:t xml:space="preserve">      </w:t>
      </w:r>
    </w:p>
    <w:p w14:paraId="53E10EB0">
      <w:pPr>
        <w:pStyle w:val="31"/>
        <w:spacing w:line="360" w:lineRule="auto"/>
        <w:ind w:left="105" w:leftChars="50" w:firstLine="361" w:firstLineChars="150"/>
        <w:rPr>
          <w:rFonts w:hint="eastAsia" w:ascii="仿宋" w:hAnsi="仿宋" w:eastAsia="仿宋"/>
          <w:b/>
          <w:bCs/>
          <w:sz w:val="24"/>
          <w:szCs w:val="24"/>
        </w:rPr>
      </w:pPr>
      <w:r>
        <w:rPr>
          <w:rFonts w:ascii="仿宋" w:hAnsi="仿宋" w:eastAsia="仿宋"/>
          <w:b/>
          <w:bCs/>
          <w:sz w:val="24"/>
          <w:szCs w:val="24"/>
        </w:rPr>
        <w:t>4.2</w:t>
      </w:r>
      <w:r>
        <w:rPr>
          <w:rFonts w:ascii="Calibri" w:hAnsi="Calibri" w:eastAsia="仿宋" w:cs="Calibri"/>
          <w:b/>
          <w:bCs/>
          <w:sz w:val="24"/>
          <w:szCs w:val="24"/>
        </w:rPr>
        <w:t> </w:t>
      </w:r>
      <w:r>
        <w:rPr>
          <w:rFonts w:ascii="仿宋" w:hAnsi="仿宋" w:eastAsia="仿宋"/>
          <w:b/>
          <w:bCs/>
          <w:sz w:val="24"/>
          <w:szCs w:val="24"/>
        </w:rPr>
        <w:t>响应时间需求</w:t>
      </w:r>
      <w:r>
        <w:rPr>
          <w:rFonts w:ascii="Cambria Math" w:hAnsi="Cambria Math" w:eastAsia="仿宋" w:cs="Cambria Math"/>
          <w:b/>
          <w:bCs/>
          <w:sz w:val="24"/>
          <w:szCs w:val="24"/>
        </w:rPr>
        <w:t>​</w:t>
      </w:r>
    </w:p>
    <w:p w14:paraId="09E110A9">
      <w:pPr>
        <w:pStyle w:val="31"/>
        <w:spacing w:line="360" w:lineRule="auto"/>
        <w:ind w:left="105" w:leftChars="50" w:firstLine="360" w:firstLineChars="150"/>
        <w:rPr>
          <w:rFonts w:hint="eastAsia" w:ascii="仿宋" w:hAnsi="仿宋" w:eastAsia="仿宋"/>
          <w:sz w:val="24"/>
          <w:szCs w:val="24"/>
        </w:rPr>
      </w:pPr>
      <w:r>
        <w:rPr>
          <w:rFonts w:ascii="仿宋" w:hAnsi="仿宋" w:eastAsia="仿宋"/>
          <w:sz w:val="24"/>
          <w:szCs w:val="24"/>
        </w:rPr>
        <w:t>适配不同场景时效性：高频操作（如门诊</w:t>
      </w:r>
      <w:r>
        <w:rPr>
          <w:rFonts w:ascii="Calibri" w:hAnsi="Calibri" w:eastAsia="仿宋" w:cs="Calibri"/>
          <w:sz w:val="24"/>
          <w:szCs w:val="24"/>
        </w:rPr>
        <w:t> </w:t>
      </w:r>
      <w:r>
        <w:rPr>
          <w:rFonts w:ascii="仿宋" w:hAnsi="仿宋" w:eastAsia="仿宋"/>
          <w:sz w:val="24"/>
          <w:szCs w:val="24"/>
        </w:rPr>
        <w:t>/</w:t>
      </w:r>
      <w:r>
        <w:rPr>
          <w:rFonts w:ascii="Calibri" w:hAnsi="Calibri" w:eastAsia="仿宋" w:cs="Calibri"/>
          <w:sz w:val="24"/>
          <w:szCs w:val="24"/>
        </w:rPr>
        <w:t> </w:t>
      </w:r>
      <w:r>
        <w:rPr>
          <w:rFonts w:ascii="仿宋" w:hAnsi="仿宋" w:eastAsia="仿宋"/>
          <w:sz w:val="24"/>
          <w:szCs w:val="24"/>
        </w:rPr>
        <w:t>住院数据查询、指标图加载）响应时间需合理；复杂操作（如报表生成、多维度分析）通过后台异步处理，保障前端交互流畅。</w:t>
      </w:r>
      <w:r>
        <w:rPr>
          <w:rFonts w:ascii="Cambria Math" w:hAnsi="Cambria Math" w:eastAsia="仿宋" w:cs="Cambria Math"/>
          <w:sz w:val="24"/>
          <w:szCs w:val="24"/>
        </w:rPr>
        <w:t>​</w:t>
      </w:r>
    </w:p>
    <w:p w14:paraId="155799CE">
      <w:pPr>
        <w:pStyle w:val="31"/>
        <w:spacing w:line="360" w:lineRule="auto"/>
        <w:ind w:left="420" w:leftChars="200"/>
        <w:rPr>
          <w:rFonts w:hint="eastAsia" w:ascii="仿宋" w:hAnsi="仿宋" w:eastAsia="仿宋"/>
          <w:sz w:val="24"/>
          <w:szCs w:val="24"/>
        </w:rPr>
      </w:pPr>
      <w:r>
        <w:rPr>
          <w:rFonts w:ascii="仿宋" w:hAnsi="仿宋" w:eastAsia="仿宋"/>
          <w:b/>
          <w:bCs/>
          <w:sz w:val="24"/>
          <w:szCs w:val="24"/>
        </w:rPr>
        <w:t>4.3</w:t>
      </w:r>
      <w:r>
        <w:rPr>
          <w:rFonts w:ascii="Calibri" w:hAnsi="Calibri" w:eastAsia="仿宋" w:cs="Calibri"/>
          <w:b/>
          <w:bCs/>
          <w:sz w:val="24"/>
          <w:szCs w:val="24"/>
        </w:rPr>
        <w:t> </w:t>
      </w:r>
      <w:r>
        <w:rPr>
          <w:rFonts w:ascii="仿宋" w:hAnsi="仿宋" w:eastAsia="仿宋"/>
          <w:b/>
          <w:bCs/>
          <w:sz w:val="24"/>
          <w:szCs w:val="24"/>
        </w:rPr>
        <w:t>数据承载与处理能力需求</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数据存储：兼容历史、实时及归档数据，满足累积增长需求</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数据处理：支持多医院并发上传、多卫健委同步查询，避免拥堵</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数据吞吐量：保障数据采集、传输、分析环节流畅，无积压。</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b/>
          <w:bCs/>
          <w:sz w:val="24"/>
          <w:szCs w:val="24"/>
        </w:rPr>
        <w:t>4.4</w:t>
      </w:r>
      <w:r>
        <w:rPr>
          <w:rFonts w:ascii="Calibri" w:hAnsi="Calibri" w:eastAsia="仿宋" w:cs="Calibri"/>
          <w:b/>
          <w:bCs/>
          <w:sz w:val="24"/>
          <w:szCs w:val="24"/>
        </w:rPr>
        <w:t> </w:t>
      </w:r>
      <w:r>
        <w:rPr>
          <w:rFonts w:ascii="仿宋" w:hAnsi="仿宋" w:eastAsia="仿宋"/>
          <w:b/>
          <w:bCs/>
          <w:sz w:val="24"/>
          <w:szCs w:val="24"/>
        </w:rPr>
        <w:t>数据质量需求</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建立全流程管控体系，确保：</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完整性：核心字段（出院人数、手术信息等）无缺失</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一致性：同类型指标计算标准、格式单位统一</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真实性：数据可追溯、无篡改，通过校验机制保障。</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b/>
          <w:bCs/>
          <w:sz w:val="24"/>
          <w:szCs w:val="24"/>
        </w:rPr>
        <w:t>4.5</w:t>
      </w:r>
      <w:r>
        <w:rPr>
          <w:rFonts w:ascii="Calibri" w:hAnsi="Calibri" w:eastAsia="仿宋" w:cs="Calibri"/>
          <w:b/>
          <w:bCs/>
          <w:sz w:val="24"/>
          <w:szCs w:val="24"/>
        </w:rPr>
        <w:t> </w:t>
      </w:r>
      <w:r>
        <w:rPr>
          <w:rFonts w:ascii="仿宋" w:hAnsi="仿宋" w:eastAsia="仿宋"/>
          <w:b/>
          <w:bCs/>
          <w:sz w:val="24"/>
          <w:szCs w:val="24"/>
        </w:rPr>
        <w:t>服务器配置要求</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硬件：CPU≥8</w:t>
      </w:r>
      <w:r>
        <w:rPr>
          <w:rFonts w:ascii="Calibri" w:hAnsi="Calibri" w:eastAsia="仿宋" w:cs="Calibri"/>
          <w:sz w:val="24"/>
          <w:szCs w:val="24"/>
        </w:rPr>
        <w:t> </w:t>
      </w:r>
      <w:r>
        <w:rPr>
          <w:rFonts w:ascii="仿宋" w:hAnsi="仿宋" w:eastAsia="仿宋"/>
          <w:sz w:val="24"/>
          <w:szCs w:val="24"/>
        </w:rPr>
        <w:t>核、内存≥16G、</w:t>
      </w:r>
      <w:r>
        <w:rPr>
          <w:rFonts w:hint="eastAsia" w:ascii="仿宋" w:hAnsi="仿宋" w:eastAsia="仿宋"/>
          <w:sz w:val="24"/>
          <w:szCs w:val="24"/>
        </w:rPr>
        <w:t>磁</w:t>
      </w:r>
      <w:r>
        <w:rPr>
          <w:rFonts w:ascii="仿宋" w:hAnsi="仿宋" w:eastAsia="仿宋"/>
          <w:sz w:val="24"/>
          <w:szCs w:val="24"/>
        </w:rPr>
        <w:t>盘≥500G</w:t>
      </w:r>
      <w:r>
        <w:rPr>
          <w:rFonts w:hint="eastAsia" w:ascii="仿宋" w:hAnsi="仿宋" w:eastAsia="仿宋"/>
          <w:sz w:val="24"/>
          <w:szCs w:val="24"/>
        </w:rPr>
        <w:t>。</w:t>
      </w:r>
      <w:r>
        <w:rPr>
          <w:rFonts w:ascii="Cambria Math" w:hAnsi="Cambria Math" w:eastAsia="仿宋" w:cs="Cambria Math"/>
          <w:sz w:val="24"/>
          <w:szCs w:val="24"/>
        </w:rPr>
        <w:t>​</w:t>
      </w:r>
      <w:r>
        <w:rPr>
          <w:rFonts w:ascii="仿宋" w:hAnsi="仿宋" w:eastAsia="仿宋"/>
          <w:sz w:val="24"/>
          <w:szCs w:val="24"/>
        </w:rPr>
        <w:br w:type="textWrapping"/>
      </w:r>
      <w:r>
        <w:rPr>
          <w:rFonts w:ascii="仿宋" w:hAnsi="仿宋" w:eastAsia="仿宋"/>
          <w:sz w:val="24"/>
          <w:szCs w:val="24"/>
        </w:rPr>
        <w:t>操作系统：优选</w:t>
      </w:r>
      <w:r>
        <w:rPr>
          <w:rFonts w:ascii="Calibri" w:hAnsi="Calibri" w:eastAsia="仿宋" w:cs="Calibri"/>
          <w:sz w:val="24"/>
          <w:szCs w:val="24"/>
        </w:rPr>
        <w:t> </w:t>
      </w:r>
      <w:r>
        <w:rPr>
          <w:rFonts w:ascii="仿宋" w:hAnsi="仿宋" w:eastAsia="仿宋"/>
          <w:sz w:val="24"/>
          <w:szCs w:val="24"/>
        </w:rPr>
        <w:t>Windows</w:t>
      </w:r>
      <w:r>
        <w:rPr>
          <w:rFonts w:ascii="Calibri" w:hAnsi="Calibri" w:eastAsia="仿宋" w:cs="Calibri"/>
          <w:sz w:val="24"/>
          <w:szCs w:val="24"/>
        </w:rPr>
        <w:t> </w:t>
      </w:r>
      <w:r>
        <w:rPr>
          <w:rFonts w:ascii="仿宋" w:hAnsi="仿宋" w:eastAsia="仿宋"/>
          <w:sz w:val="24"/>
          <w:szCs w:val="24"/>
        </w:rPr>
        <w:t>Server</w:t>
      </w:r>
      <w:r>
        <w:rPr>
          <w:rFonts w:ascii="Calibri" w:hAnsi="Calibri" w:eastAsia="仿宋" w:cs="Calibri"/>
          <w:sz w:val="24"/>
          <w:szCs w:val="24"/>
        </w:rPr>
        <w:t> </w:t>
      </w:r>
      <w:r>
        <w:rPr>
          <w:rFonts w:ascii="仿宋" w:hAnsi="仿宋" w:eastAsia="仿宋"/>
          <w:sz w:val="24"/>
          <w:szCs w:val="24"/>
        </w:rPr>
        <w:t>2022</w:t>
      </w:r>
      <w:r>
        <w:rPr>
          <w:rFonts w:ascii="Calibri" w:hAnsi="Calibri" w:eastAsia="仿宋" w:cs="Calibri"/>
          <w:sz w:val="24"/>
          <w:szCs w:val="24"/>
        </w:rPr>
        <w:t> </w:t>
      </w:r>
      <w:r>
        <w:rPr>
          <w:rFonts w:ascii="仿宋" w:hAnsi="仿宋" w:eastAsia="仿宋"/>
          <w:sz w:val="24"/>
          <w:szCs w:val="24"/>
        </w:rPr>
        <w:t>标准版（64</w:t>
      </w:r>
      <w:r>
        <w:rPr>
          <w:rFonts w:ascii="Calibri" w:hAnsi="Calibri" w:eastAsia="仿宋" w:cs="Calibri"/>
          <w:sz w:val="24"/>
          <w:szCs w:val="24"/>
        </w:rPr>
        <w:t> </w:t>
      </w:r>
      <w:r>
        <w:rPr>
          <w:rFonts w:ascii="仿宋" w:hAnsi="仿宋" w:eastAsia="仿宋"/>
          <w:sz w:val="24"/>
          <w:szCs w:val="24"/>
        </w:rPr>
        <w:t>位），保障兼容性与安全性。</w:t>
      </w:r>
    </w:p>
    <w:p w14:paraId="2EE42F27">
      <w:pPr>
        <w:pStyle w:val="38"/>
        <w:spacing w:line="360" w:lineRule="auto"/>
        <w:ind w:firstLine="0" w:firstLineChars="0"/>
        <w:rPr>
          <w:rFonts w:hint="eastAsia" w:ascii="黑体" w:hAnsi="黑体" w:eastAsia="黑体"/>
          <w:iCs w:val="0"/>
          <w:sz w:val="28"/>
          <w:szCs w:val="28"/>
        </w:rPr>
      </w:pPr>
      <w:r>
        <w:rPr>
          <w:rFonts w:hint="eastAsia" w:ascii="黑体" w:hAnsi="黑体" w:eastAsia="黑体"/>
          <w:iCs w:val="0"/>
          <w:sz w:val="28"/>
          <w:szCs w:val="28"/>
        </w:rPr>
        <w:t>三、商务要求</w:t>
      </w:r>
    </w:p>
    <w:p w14:paraId="0A9A6783">
      <w:pPr>
        <w:pStyle w:val="38"/>
        <w:spacing w:line="360" w:lineRule="auto"/>
        <w:ind w:firstLine="480"/>
        <w:rPr>
          <w:rFonts w:hint="eastAsia" w:hAnsi="黑体"/>
          <w:iCs w:val="0"/>
          <w:szCs w:val="24"/>
        </w:rPr>
      </w:pPr>
      <w:r>
        <w:rPr>
          <w:rFonts w:hint="eastAsia" w:hAnsi="黑体"/>
          <w:iCs w:val="0"/>
          <w:szCs w:val="24"/>
        </w:rPr>
        <w:t>项目验收时，成交供应商应提交完整技术文档，包括但不限于《系统接口标准及规范》《系统部署安装操作说明书》《用户操作手册》，能够全面了解系统建设情况，为后续运维提供依据。</w:t>
      </w:r>
    </w:p>
    <w:p w14:paraId="50A571AD">
      <w:pPr>
        <w:pStyle w:val="38"/>
        <w:spacing w:line="360" w:lineRule="auto"/>
        <w:ind w:firstLine="0" w:firstLineChars="0"/>
        <w:rPr>
          <w:rFonts w:hint="eastAsia" w:ascii="黑体" w:hAnsi="黑体" w:eastAsia="黑体"/>
          <w:iCs w:val="0"/>
          <w:sz w:val="28"/>
          <w:szCs w:val="28"/>
        </w:rPr>
      </w:pPr>
      <w:r>
        <w:rPr>
          <w:rFonts w:ascii="黑体" w:hAnsi="黑体" w:eastAsia="黑体"/>
          <w:iCs w:val="0"/>
          <w:sz w:val="28"/>
          <w:szCs w:val="28"/>
        </w:rPr>
        <w:t>四、项目管理与团队要求</w:t>
      </w:r>
    </w:p>
    <w:p w14:paraId="7606DD93">
      <w:pPr>
        <w:spacing w:line="360" w:lineRule="auto"/>
        <w:ind w:firstLine="482" w:firstLineChars="200"/>
        <w:rPr>
          <w:rFonts w:hint="eastAsia" w:ascii="仿宋" w:hAnsi="仿宋" w:eastAsia="仿宋"/>
          <w:b/>
          <w:bCs/>
          <w:sz w:val="24"/>
          <w:szCs w:val="24"/>
        </w:rPr>
      </w:pPr>
      <w:r>
        <w:rPr>
          <w:rFonts w:ascii="仿宋" w:hAnsi="仿宋" w:eastAsia="仿宋"/>
          <w:b/>
          <w:bCs/>
          <w:sz w:val="24"/>
          <w:szCs w:val="24"/>
        </w:rPr>
        <w:t>（一）项目管理方案</w:t>
      </w:r>
    </w:p>
    <w:p w14:paraId="006F478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服务商需提供详尽项目管理方案，涵盖实施进度表、项目组织结构、项目质量控制等内容，确保项目按计划有序推进，各环节质量达标，满足医院信息化建设标准。</w:t>
      </w:r>
    </w:p>
    <w:p w14:paraId="48184BC7">
      <w:pPr>
        <w:spacing w:line="360" w:lineRule="auto"/>
        <w:ind w:firstLine="482" w:firstLineChars="200"/>
        <w:rPr>
          <w:rFonts w:hint="eastAsia" w:ascii="仿宋" w:hAnsi="仿宋" w:eastAsia="仿宋"/>
          <w:b/>
          <w:bCs/>
          <w:sz w:val="24"/>
          <w:szCs w:val="24"/>
        </w:rPr>
      </w:pPr>
      <w:r>
        <w:rPr>
          <w:rFonts w:ascii="仿宋" w:hAnsi="仿宋" w:eastAsia="仿宋"/>
          <w:b/>
          <w:bCs/>
          <w:sz w:val="24"/>
          <w:szCs w:val="24"/>
        </w:rPr>
        <w:t>（二）项目团队</w:t>
      </w:r>
      <w:r>
        <w:rPr>
          <w:rFonts w:hint="eastAsia" w:ascii="仿宋" w:hAnsi="仿宋" w:eastAsia="仿宋"/>
          <w:b/>
          <w:bCs/>
          <w:sz w:val="24"/>
          <w:szCs w:val="24"/>
        </w:rPr>
        <w:t>组成</w:t>
      </w:r>
    </w:p>
    <w:p w14:paraId="671FF88B">
      <w:pPr>
        <w:numPr>
          <w:ilvl w:val="0"/>
          <w:numId w:val="2"/>
        </w:numPr>
        <w:spacing w:line="360" w:lineRule="auto"/>
        <w:ind w:left="0" w:firstLine="482" w:firstLineChars="200"/>
        <w:rPr>
          <w:rFonts w:hint="eastAsia" w:ascii="仿宋" w:hAnsi="仿宋" w:eastAsia="仿宋"/>
          <w:sz w:val="24"/>
          <w:szCs w:val="24"/>
        </w:rPr>
      </w:pPr>
      <w:bookmarkStart w:id="0" w:name="_Hlk193731830"/>
      <w:r>
        <w:rPr>
          <w:rFonts w:ascii="仿宋" w:hAnsi="仿宋" w:eastAsia="仿宋"/>
          <w:b/>
          <w:bCs/>
          <w:sz w:val="24"/>
          <w:szCs w:val="24"/>
        </w:rPr>
        <w:t>项目工作组成立</w:t>
      </w:r>
      <w:r>
        <w:rPr>
          <w:rFonts w:ascii="仿宋" w:hAnsi="仿宋" w:eastAsia="仿宋"/>
          <w:sz w:val="24"/>
          <w:szCs w:val="24"/>
        </w:rPr>
        <w:t xml:space="preserve"> ：</w:t>
      </w:r>
      <w:bookmarkStart w:id="1" w:name="_Hlk193731736"/>
      <w:r>
        <w:rPr>
          <w:rFonts w:ascii="仿宋" w:hAnsi="仿宋" w:eastAsia="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hint="eastAsia" w:ascii="仿宋" w:hAnsi="仿宋" w:eastAsia="仿宋"/>
          <w:sz w:val="24"/>
          <w:szCs w:val="24"/>
        </w:rPr>
        <w:t>医院</w:t>
      </w:r>
      <w:r>
        <w:rPr>
          <w:rFonts w:ascii="仿宋" w:hAnsi="仿宋" w:eastAsia="仿宋"/>
          <w:sz w:val="24"/>
          <w:szCs w:val="24"/>
        </w:rPr>
        <w:t>的有关管理制度。</w:t>
      </w:r>
    </w:p>
    <w:bookmarkEnd w:id="0"/>
    <w:bookmarkEnd w:id="1"/>
    <w:p w14:paraId="508EDD56">
      <w:pPr>
        <w:numPr>
          <w:ilvl w:val="0"/>
          <w:numId w:val="2"/>
        </w:numPr>
        <w:spacing w:line="360" w:lineRule="auto"/>
        <w:ind w:left="0" w:firstLine="482" w:firstLineChars="200"/>
        <w:rPr>
          <w:rFonts w:hint="eastAsia" w:ascii="仿宋" w:hAnsi="仿宋" w:eastAsia="仿宋"/>
          <w:sz w:val="24"/>
          <w:szCs w:val="24"/>
        </w:rPr>
      </w:pPr>
      <w:bookmarkStart w:id="2" w:name="_Hlk193731850"/>
      <w:r>
        <w:rPr>
          <w:rFonts w:ascii="仿宋" w:hAnsi="仿宋" w:eastAsia="仿宋"/>
          <w:b/>
          <w:bCs/>
          <w:sz w:val="24"/>
          <w:szCs w:val="24"/>
        </w:rPr>
        <w:t>成员组成及资质要求</w:t>
      </w:r>
    </w:p>
    <w:bookmarkEnd w:id="2"/>
    <w:p w14:paraId="13CE1B37">
      <w:pPr>
        <w:spacing w:line="360" w:lineRule="auto"/>
        <w:ind w:firstLine="482" w:firstLineChars="200"/>
        <w:rPr>
          <w:rFonts w:hint="eastAsia" w:ascii="仿宋" w:hAnsi="仿宋" w:eastAsia="仿宋"/>
          <w:sz w:val="24"/>
          <w:szCs w:val="24"/>
        </w:rPr>
      </w:pPr>
      <w:r>
        <w:rPr>
          <w:rFonts w:ascii="仿宋" w:hAnsi="仿宋" w:eastAsia="仿宋"/>
          <w:b/>
          <w:bCs/>
          <w:sz w:val="24"/>
          <w:szCs w:val="24"/>
        </w:rPr>
        <w:t>实施工程师 ：</w:t>
      </w:r>
      <w:r>
        <w:rPr>
          <w:rFonts w:ascii="仿宋" w:hAnsi="仿宋" w:eastAsia="仿宋"/>
          <w:sz w:val="24"/>
          <w:szCs w:val="24"/>
        </w:rPr>
        <w:t>至少配备 1 名具备丰富同类项目管理经验的实施工程师，且需获得我院认可，保证项目实施的专业性和针对性。</w:t>
      </w:r>
    </w:p>
    <w:p w14:paraId="64F6C0D4">
      <w:pPr>
        <w:spacing w:line="360" w:lineRule="auto"/>
        <w:ind w:firstLine="482" w:firstLineChars="200"/>
        <w:rPr>
          <w:rFonts w:hint="eastAsia" w:ascii="仿宋" w:hAnsi="仿宋" w:eastAsia="仿宋"/>
          <w:sz w:val="24"/>
          <w:szCs w:val="24"/>
        </w:rPr>
      </w:pPr>
      <w:r>
        <w:rPr>
          <w:rFonts w:ascii="仿宋" w:hAnsi="仿宋" w:eastAsia="仿宋"/>
          <w:b/>
          <w:bCs/>
          <w:sz w:val="24"/>
          <w:szCs w:val="24"/>
        </w:rPr>
        <w:t>项目开发人员 ：</w:t>
      </w:r>
      <w:r>
        <w:rPr>
          <w:rFonts w:ascii="仿宋" w:hAnsi="仿宋" w:eastAsia="仿宋"/>
          <w:sz w:val="24"/>
          <w:szCs w:val="24"/>
        </w:rPr>
        <w:t>开发团队成员均需具备同类项目实施经验，能熟练运用相关技术解决项目中遇到的问题，保障系统开发质量。</w:t>
      </w:r>
    </w:p>
    <w:p w14:paraId="69507987">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项目</w:t>
      </w:r>
      <w:r>
        <w:rPr>
          <w:rFonts w:hint="eastAsia" w:ascii="仿宋" w:hAnsi="仿宋" w:eastAsia="仿宋"/>
          <w:b/>
          <w:bCs/>
          <w:sz w:val="24"/>
          <w:szCs w:val="24"/>
        </w:rPr>
        <w:t>交付</w:t>
      </w:r>
      <w:r>
        <w:rPr>
          <w:rFonts w:ascii="仿宋" w:hAnsi="仿宋" w:eastAsia="仿宋"/>
          <w:b/>
          <w:bCs/>
          <w:sz w:val="24"/>
          <w:szCs w:val="24"/>
        </w:rPr>
        <w:t>期</w:t>
      </w:r>
    </w:p>
    <w:p w14:paraId="4F531B31">
      <w:pPr>
        <w:spacing w:line="360" w:lineRule="auto"/>
        <w:ind w:firstLine="480" w:firstLineChars="200"/>
        <w:rPr>
          <w:rFonts w:hint="eastAsia" w:ascii="仿宋" w:hAnsi="仿宋" w:eastAsia="仿宋"/>
          <w:b/>
          <w:bCs/>
          <w:sz w:val="24"/>
          <w:szCs w:val="24"/>
        </w:rPr>
      </w:pPr>
      <w:r>
        <w:rPr>
          <w:rFonts w:ascii="仿宋" w:hAnsi="仿宋" w:eastAsia="仿宋"/>
          <w:sz w:val="24"/>
          <w:szCs w:val="24"/>
        </w:rPr>
        <w:t>项目实施工期为60天。服务商应确保签订合同后完成系统部署、定制化模板开发、接口对接及多轮测试优化等全部上线前必备工作内容。上线后进入90天系统试运行阶段，服务商需对试运行期间出现的各类功能缺陷、性能瓶颈及用户反馈问题进行实时监测与快速修复。</w:t>
      </w:r>
    </w:p>
    <w:p w14:paraId="4246F6E6">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（三）</w:t>
      </w:r>
      <w:r>
        <w:rPr>
          <w:rFonts w:ascii="仿宋" w:hAnsi="仿宋" w:eastAsia="仿宋"/>
          <w:b/>
          <w:bCs/>
          <w:sz w:val="24"/>
          <w:szCs w:val="24"/>
        </w:rPr>
        <w:t>项目验收</w:t>
      </w:r>
    </w:p>
    <w:p w14:paraId="377AB610">
      <w:pPr>
        <w:spacing w:line="360" w:lineRule="auto"/>
        <w:ind w:firstLine="482" w:firstLineChars="200"/>
        <w:rPr>
          <w:rFonts w:hint="eastAsia" w:ascii="仿宋" w:hAnsi="仿宋" w:eastAsia="仿宋"/>
          <w:sz w:val="24"/>
          <w:szCs w:val="24"/>
        </w:rPr>
      </w:pPr>
      <w:r>
        <w:rPr>
          <w:rFonts w:hint="eastAsia" w:ascii="仿宋" w:hAnsi="仿宋" w:eastAsia="仿宋"/>
          <w:b/>
          <w:bCs/>
          <w:sz w:val="24"/>
          <w:szCs w:val="24"/>
        </w:rPr>
        <w:t>1.</w:t>
      </w:r>
      <w:r>
        <w:rPr>
          <w:rFonts w:ascii="仿宋" w:hAnsi="仿宋" w:eastAsia="仿宋"/>
          <w:b/>
          <w:bCs/>
          <w:sz w:val="24"/>
          <w:szCs w:val="24"/>
        </w:rPr>
        <w:t>验收组织</w:t>
      </w:r>
      <w:r>
        <w:rPr>
          <w:rFonts w:ascii="仿宋" w:hAnsi="仿宋" w:eastAsia="仿宋"/>
          <w:sz w:val="24"/>
          <w:szCs w:val="24"/>
        </w:rPr>
        <w:t xml:space="preserve"> ：实施完毕后，由我院信息网络中心</w:t>
      </w:r>
      <w:r>
        <w:rPr>
          <w:rFonts w:hint="eastAsia" w:ascii="仿宋" w:hAnsi="仿宋" w:eastAsia="仿宋"/>
          <w:sz w:val="24"/>
          <w:szCs w:val="24"/>
        </w:rPr>
        <w:t>、质控办</w:t>
      </w:r>
      <w:r>
        <w:rPr>
          <w:rFonts w:ascii="仿宋" w:hAnsi="仿宋" w:eastAsia="仿宋"/>
          <w:sz w:val="24"/>
          <w:szCs w:val="24"/>
        </w:rPr>
        <w:t>牵头组织验收工作，全面检查系统功能、性能、文档等是否符合要求。</w:t>
      </w:r>
    </w:p>
    <w:p w14:paraId="79A75BDA">
      <w:pPr>
        <w:spacing w:line="360" w:lineRule="auto"/>
        <w:ind w:firstLine="482" w:firstLineChars="200"/>
        <w:rPr>
          <w:rFonts w:hint="eastAsia" w:ascii="仿宋" w:hAnsi="仿宋" w:eastAsia="仿宋"/>
          <w:sz w:val="24"/>
          <w:szCs w:val="24"/>
        </w:rPr>
      </w:pPr>
      <w:bookmarkStart w:id="3" w:name="_Hlk193732116"/>
      <w:r>
        <w:rPr>
          <w:rFonts w:hint="eastAsia" w:ascii="仿宋" w:hAnsi="仿宋" w:eastAsia="仿宋"/>
          <w:b/>
          <w:bCs/>
          <w:sz w:val="24"/>
          <w:szCs w:val="24"/>
        </w:rPr>
        <w:t>2.</w:t>
      </w:r>
      <w:r>
        <w:rPr>
          <w:rFonts w:ascii="仿宋" w:hAnsi="仿宋" w:eastAsia="仿宋"/>
          <w:b/>
          <w:bCs/>
          <w:sz w:val="24"/>
          <w:szCs w:val="24"/>
        </w:rPr>
        <w:t>验收依据</w:t>
      </w:r>
      <w:r>
        <w:rPr>
          <w:rFonts w:ascii="仿宋" w:hAnsi="仿宋" w:eastAsia="仿宋"/>
          <w:sz w:val="24"/>
          <w:szCs w:val="24"/>
        </w:rPr>
        <w:t xml:space="preserve"> ：采购文件条款、软件使用说明及国家有关的检验标准均为验收的依据。</w:t>
      </w:r>
    </w:p>
    <w:bookmarkEnd w:id="3"/>
    <w:p w14:paraId="247BA472">
      <w:pPr>
        <w:spacing w:line="360" w:lineRule="auto"/>
        <w:ind w:firstLine="482" w:firstLineChars="200"/>
        <w:rPr>
          <w:rFonts w:hint="eastAsia" w:ascii="仿宋" w:hAnsi="仿宋" w:eastAsia="仿宋"/>
          <w:sz w:val="24"/>
          <w:szCs w:val="24"/>
        </w:rPr>
      </w:pPr>
      <w:r>
        <w:rPr>
          <w:rFonts w:hint="eastAsia" w:ascii="仿宋" w:hAnsi="仿宋" w:eastAsia="仿宋"/>
          <w:b/>
          <w:bCs/>
          <w:sz w:val="24"/>
          <w:szCs w:val="24"/>
        </w:rPr>
        <w:t>3.</w:t>
      </w:r>
      <w:r>
        <w:rPr>
          <w:rFonts w:ascii="仿宋" w:hAnsi="仿宋" w:eastAsia="仿宋"/>
          <w:b/>
          <w:bCs/>
          <w:sz w:val="24"/>
          <w:szCs w:val="24"/>
        </w:rPr>
        <w:t>验收程序</w:t>
      </w:r>
      <w:r>
        <w:rPr>
          <w:rFonts w:ascii="仿宋" w:hAnsi="仿宋" w:eastAsia="仿宋"/>
          <w:sz w:val="24"/>
          <w:szCs w:val="24"/>
        </w:rPr>
        <w:t xml:space="preserve"> ：</w:t>
      </w:r>
      <w:bookmarkStart w:id="4" w:name="_Hlk193732622"/>
      <w:r>
        <w:rPr>
          <w:rFonts w:hint="eastAsia" w:ascii="仿宋" w:hAnsi="仿宋" w:eastAsia="仿宋"/>
          <w:sz w:val="24"/>
          <w:szCs w:val="24"/>
        </w:rPr>
        <w:t>验收时服务商必须派代表在场,功能确认无误后，由双方签署验收报告。</w:t>
      </w:r>
    </w:p>
    <w:bookmarkEnd w:id="4"/>
    <w:p w14:paraId="366072C5">
      <w:pPr>
        <w:spacing w:line="360" w:lineRule="auto"/>
        <w:rPr>
          <w:rFonts w:hint="eastAsia" w:ascii="黑体" w:hAnsi="黑体" w:eastAsia="黑体"/>
          <w:sz w:val="28"/>
          <w:szCs w:val="28"/>
        </w:rPr>
      </w:pPr>
      <w:r>
        <w:rPr>
          <w:rFonts w:ascii="黑体" w:hAnsi="黑体" w:eastAsia="黑体"/>
          <w:sz w:val="28"/>
          <w:szCs w:val="28"/>
        </w:rPr>
        <w:t>五、售后服务要求</w:t>
      </w:r>
    </w:p>
    <w:p w14:paraId="2D1FC2BD">
      <w:pPr>
        <w:spacing w:line="360" w:lineRule="auto"/>
        <w:ind w:firstLine="241" w:firstLineChars="100"/>
        <w:rPr>
          <w:rFonts w:hint="eastAsia" w:ascii="仿宋" w:hAnsi="仿宋" w:eastAsia="仿宋"/>
          <w:b/>
          <w:bCs/>
          <w:sz w:val="24"/>
          <w:szCs w:val="24"/>
        </w:rPr>
      </w:pPr>
      <w:r>
        <w:rPr>
          <w:rFonts w:ascii="仿宋" w:hAnsi="仿宋" w:eastAsia="仿宋"/>
          <w:b/>
          <w:bCs/>
          <w:sz w:val="24"/>
          <w:szCs w:val="24"/>
        </w:rPr>
        <w:t>（一）技术服务支持</w:t>
      </w:r>
    </w:p>
    <w:p w14:paraId="367E97F7">
      <w:pPr>
        <w:spacing w:line="360" w:lineRule="auto"/>
        <w:ind w:firstLine="482" w:firstLineChars="200"/>
        <w:rPr>
          <w:rFonts w:hint="eastAsia" w:ascii="仿宋" w:hAnsi="仿宋" w:eastAsia="仿宋"/>
          <w:b/>
          <w:bCs/>
          <w:sz w:val="24"/>
          <w:szCs w:val="24"/>
        </w:rPr>
      </w:pPr>
      <w:bookmarkStart w:id="5" w:name="_Hlk193730530"/>
      <w:r>
        <w:rPr>
          <w:rFonts w:hint="eastAsia" w:ascii="仿宋" w:hAnsi="仿宋" w:eastAsia="仿宋"/>
          <w:b/>
          <w:bCs/>
          <w:sz w:val="24"/>
          <w:szCs w:val="24"/>
        </w:rPr>
        <w:t>1.</w:t>
      </w:r>
      <w:r>
        <w:rPr>
          <w:rFonts w:ascii="仿宋" w:hAnsi="仿宋" w:eastAsia="仿宋"/>
          <w:b/>
          <w:bCs/>
          <w:sz w:val="24"/>
          <w:szCs w:val="24"/>
        </w:rPr>
        <w:t>服务</w:t>
      </w:r>
      <w:r>
        <w:rPr>
          <w:rFonts w:hint="eastAsia" w:ascii="仿宋" w:hAnsi="仿宋" w:eastAsia="仿宋"/>
          <w:b/>
          <w:bCs/>
          <w:sz w:val="24"/>
          <w:szCs w:val="24"/>
        </w:rPr>
        <w:t>方式</w:t>
      </w:r>
    </w:p>
    <w:p w14:paraId="3198A743">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提供 7×24 小时全天候技术咨询服务，</w:t>
      </w:r>
      <w:r>
        <w:rPr>
          <w:rFonts w:hint="eastAsia" w:ascii="仿宋" w:hAnsi="仿宋" w:eastAsia="仿宋" w:cs="Times New Roman"/>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48558896">
      <w:pPr>
        <w:spacing w:line="360" w:lineRule="auto"/>
        <w:ind w:firstLine="482" w:firstLineChars="200"/>
        <w:rPr>
          <w:rFonts w:hint="eastAsia" w:ascii="仿宋" w:hAnsi="仿宋" w:eastAsia="仿宋"/>
          <w:sz w:val="24"/>
          <w:szCs w:val="24"/>
        </w:rPr>
      </w:pPr>
      <w:r>
        <w:rPr>
          <w:rFonts w:hint="eastAsia" w:ascii="仿宋" w:hAnsi="仿宋" w:eastAsia="仿宋"/>
          <w:b/>
          <w:bCs/>
          <w:sz w:val="24"/>
          <w:szCs w:val="24"/>
        </w:rPr>
        <w:t>2.</w:t>
      </w:r>
      <w:r>
        <w:rPr>
          <w:rFonts w:ascii="仿宋" w:hAnsi="仿宋" w:eastAsia="仿宋"/>
          <w:b/>
          <w:bCs/>
          <w:sz w:val="24"/>
          <w:szCs w:val="24"/>
        </w:rPr>
        <w:t>质保期</w:t>
      </w:r>
      <w:r>
        <w:rPr>
          <w:rFonts w:ascii="仿宋" w:hAnsi="仿宋" w:eastAsia="仿宋"/>
          <w:sz w:val="24"/>
          <w:szCs w:val="24"/>
        </w:rPr>
        <w:t xml:space="preserve"> </w:t>
      </w:r>
    </w:p>
    <w:p w14:paraId="1465B4C4">
      <w:pPr>
        <w:spacing w:line="360" w:lineRule="auto"/>
        <w:ind w:firstLine="480" w:firstLineChars="200"/>
        <w:rPr>
          <w:rFonts w:hint="eastAsia" w:ascii="仿宋" w:hAnsi="仿宋" w:eastAsia="仿宋"/>
          <w:sz w:val="24"/>
          <w:szCs w:val="24"/>
        </w:rPr>
      </w:pPr>
      <w:r>
        <w:rPr>
          <w:rFonts w:ascii="仿宋" w:hAnsi="仿宋" w:eastAsia="仿宋"/>
          <w:sz w:val="24"/>
          <w:szCs w:val="24"/>
        </w:rPr>
        <w:t>自验收合格之日起一年，质保期内免费维护，确保系统在质保期内的稳定运行与性能优化。</w:t>
      </w:r>
    </w:p>
    <w:p w14:paraId="1CD4879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b/>
          <w:bCs/>
          <w:sz w:val="24"/>
          <w:szCs w:val="24"/>
        </w:rPr>
        <w:t>拥有软件的永久使用权</w:t>
      </w:r>
    </w:p>
    <w:p w14:paraId="206365A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医院拥有该信息系统的永久使用权。 </w:t>
      </w:r>
    </w:p>
    <w:bookmarkEnd w:id="5"/>
    <w:p w14:paraId="203FACC8">
      <w:pPr>
        <w:spacing w:line="360" w:lineRule="auto"/>
        <w:ind w:firstLine="241" w:firstLineChars="100"/>
        <w:rPr>
          <w:rFonts w:hint="eastAsia" w:ascii="仿宋" w:hAnsi="仿宋" w:eastAsia="仿宋"/>
          <w:b/>
          <w:bCs/>
          <w:sz w:val="24"/>
          <w:szCs w:val="24"/>
        </w:rPr>
      </w:pPr>
      <w:bookmarkStart w:id="6" w:name="_Hlk193730776"/>
      <w:r>
        <w:rPr>
          <w:rFonts w:ascii="仿宋" w:hAnsi="仿宋" w:eastAsia="仿宋"/>
          <w:b/>
          <w:bCs/>
          <w:sz w:val="24"/>
          <w:szCs w:val="24"/>
        </w:rPr>
        <w:t>（二）系统维护与升级</w:t>
      </w:r>
    </w:p>
    <w:p w14:paraId="45D44AD3">
      <w:pPr>
        <w:numPr>
          <w:ilvl w:val="0"/>
          <w:numId w:val="3"/>
        </w:numPr>
        <w:spacing w:line="360" w:lineRule="auto"/>
        <w:ind w:left="0" w:firstLine="482" w:firstLineChars="200"/>
        <w:rPr>
          <w:rFonts w:hint="eastAsia" w:ascii="仿宋" w:hAnsi="仿宋" w:eastAsia="仿宋"/>
          <w:sz w:val="24"/>
          <w:szCs w:val="24"/>
        </w:rPr>
      </w:pPr>
      <w:r>
        <w:rPr>
          <w:rFonts w:ascii="仿宋" w:hAnsi="仿宋" w:eastAsia="仿宋"/>
          <w:b/>
          <w:bCs/>
          <w:sz w:val="24"/>
          <w:szCs w:val="24"/>
        </w:rPr>
        <w:t>日常维护</w:t>
      </w:r>
      <w:r>
        <w:rPr>
          <w:rFonts w:ascii="仿宋" w:hAnsi="仿宋" w:eastAsia="仿宋"/>
          <w:sz w:val="24"/>
          <w:szCs w:val="24"/>
        </w:rPr>
        <w:t xml:space="preserve"> </w:t>
      </w:r>
    </w:p>
    <w:p w14:paraId="7C475624">
      <w:pPr>
        <w:spacing w:line="360" w:lineRule="auto"/>
        <w:ind w:firstLine="480" w:firstLineChars="200"/>
        <w:rPr>
          <w:rFonts w:hint="eastAsia" w:ascii="仿宋" w:hAnsi="仿宋" w:eastAsia="仿宋"/>
          <w:sz w:val="24"/>
          <w:szCs w:val="24"/>
        </w:rPr>
      </w:pPr>
      <w:r>
        <w:rPr>
          <w:rFonts w:ascii="仿宋" w:hAnsi="仿宋" w:eastAsia="仿宋"/>
          <w:sz w:val="24"/>
          <w:szCs w:val="24"/>
        </w:rPr>
        <w:t>定期对系统进行巡检、优化，及时发现并处理潜在问题，确保系统性能稳定，每月至少提供一次系统运行报告，详细说明系统运行状况、问题处理情况及优化建议。</w:t>
      </w:r>
    </w:p>
    <w:p w14:paraId="57C0ACF2">
      <w:pPr>
        <w:numPr>
          <w:ilvl w:val="0"/>
          <w:numId w:val="3"/>
        </w:numPr>
        <w:spacing w:line="360" w:lineRule="auto"/>
        <w:ind w:left="0" w:firstLine="482" w:firstLineChars="200"/>
        <w:rPr>
          <w:rFonts w:hint="eastAsia" w:ascii="仿宋" w:hAnsi="仿宋" w:eastAsia="仿宋"/>
          <w:sz w:val="24"/>
          <w:szCs w:val="24"/>
        </w:rPr>
      </w:pPr>
      <w:r>
        <w:rPr>
          <w:rFonts w:ascii="仿宋" w:hAnsi="仿宋" w:eastAsia="仿宋"/>
          <w:b/>
          <w:bCs/>
          <w:sz w:val="24"/>
          <w:szCs w:val="24"/>
        </w:rPr>
        <w:t>功能升级</w:t>
      </w:r>
      <w:r>
        <w:rPr>
          <w:rFonts w:ascii="仿宋" w:hAnsi="仿宋" w:eastAsia="仿宋"/>
          <w:sz w:val="24"/>
          <w:szCs w:val="24"/>
        </w:rPr>
        <w:t xml:space="preserve"> </w:t>
      </w:r>
    </w:p>
    <w:bookmarkEnd w:id="6"/>
    <w:p w14:paraId="15B7A22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根据医院业务发展及患者需求变化，及时对系统功能进行升级完善，免费提供系统升级、安全补丁及功能优化，升级内容需提前与医院沟通确定，升级过程不得影响医院正常工作。</w:t>
      </w:r>
    </w:p>
    <w:p w14:paraId="40D4444D">
      <w:pPr>
        <w:spacing w:line="360" w:lineRule="auto"/>
        <w:rPr>
          <w:rFonts w:hint="eastAsia" w:ascii="黑体" w:hAnsi="黑体" w:eastAsia="黑体"/>
          <w:sz w:val="28"/>
          <w:szCs w:val="28"/>
        </w:rPr>
      </w:pPr>
      <w:r>
        <w:rPr>
          <w:rFonts w:hint="eastAsia" w:ascii="黑体" w:hAnsi="黑体" w:eastAsia="黑体"/>
          <w:sz w:val="28"/>
          <w:szCs w:val="28"/>
        </w:rPr>
        <w:t>六</w:t>
      </w:r>
      <w:r>
        <w:rPr>
          <w:rFonts w:ascii="黑体" w:hAnsi="黑体" w:eastAsia="黑体"/>
          <w:sz w:val="28"/>
          <w:szCs w:val="28"/>
        </w:rPr>
        <w:t>、培训要求</w:t>
      </w:r>
    </w:p>
    <w:p w14:paraId="2A4D162A">
      <w:pPr>
        <w:spacing w:line="360" w:lineRule="auto"/>
        <w:ind w:firstLine="480" w:firstLineChars="200"/>
        <w:rPr>
          <w:rFonts w:hint="eastAsia" w:ascii="仿宋" w:hAnsi="仿宋" w:eastAsia="仿宋"/>
          <w:sz w:val="24"/>
          <w:szCs w:val="24"/>
        </w:rPr>
      </w:pPr>
      <w:r>
        <w:rPr>
          <w:rFonts w:ascii="仿宋" w:hAnsi="仿宋" w:eastAsia="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6A581B14">
      <w:pPr>
        <w:spacing w:line="360" w:lineRule="auto"/>
        <w:rPr>
          <w:rFonts w:hint="eastAsia" w:ascii="黑体" w:hAnsi="黑体" w:eastAsia="黑体"/>
          <w:sz w:val="28"/>
          <w:szCs w:val="28"/>
        </w:rPr>
      </w:pPr>
      <w:bookmarkStart w:id="7" w:name="_Hlk193731461"/>
      <w:r>
        <w:rPr>
          <w:rFonts w:hint="eastAsia" w:ascii="黑体" w:hAnsi="黑体" w:eastAsia="黑体"/>
          <w:sz w:val="28"/>
          <w:szCs w:val="28"/>
        </w:rPr>
        <w:t>七</w:t>
      </w:r>
      <w:r>
        <w:rPr>
          <w:rFonts w:ascii="黑体" w:hAnsi="黑体" w:eastAsia="黑体"/>
          <w:sz w:val="28"/>
          <w:szCs w:val="28"/>
        </w:rPr>
        <w:t>、其他要求</w:t>
      </w:r>
    </w:p>
    <w:p w14:paraId="4ADDE819">
      <w:pPr>
        <w:spacing w:line="360" w:lineRule="auto"/>
        <w:ind w:firstLine="241" w:firstLineChars="100"/>
        <w:rPr>
          <w:rFonts w:hint="eastAsia" w:ascii="仿宋" w:hAnsi="仿宋" w:eastAsia="仿宋"/>
          <w:b/>
          <w:bCs/>
          <w:sz w:val="24"/>
          <w:szCs w:val="24"/>
        </w:rPr>
      </w:pPr>
      <w:r>
        <w:rPr>
          <w:rFonts w:hint="eastAsia" w:ascii="仿宋" w:hAnsi="仿宋" w:eastAsia="仿宋"/>
          <w:b/>
          <w:bCs/>
          <w:sz w:val="24"/>
          <w:szCs w:val="24"/>
        </w:rPr>
        <w:t>（一）</w:t>
      </w:r>
      <w:r>
        <w:rPr>
          <w:rFonts w:ascii="仿宋" w:hAnsi="仿宋" w:eastAsia="仿宋"/>
          <w:b/>
          <w:bCs/>
          <w:sz w:val="24"/>
          <w:szCs w:val="24"/>
        </w:rPr>
        <w:t>安全要求</w:t>
      </w:r>
      <w:r>
        <w:rPr>
          <w:rFonts w:ascii="Cambria Math" w:hAnsi="Cambria Math" w:eastAsia="仿宋" w:cs="Cambria Math"/>
          <w:b/>
          <w:bCs/>
          <w:sz w:val="24"/>
          <w:szCs w:val="24"/>
        </w:rPr>
        <w:t>​</w:t>
      </w:r>
    </w:p>
    <w:p w14:paraId="10302864">
      <w:pPr>
        <w:spacing w:line="360" w:lineRule="auto"/>
        <w:ind w:firstLine="480" w:firstLineChars="200"/>
        <w:rPr>
          <w:rFonts w:hint="eastAsia" w:ascii="仿宋" w:hAnsi="仿宋" w:eastAsia="仿宋"/>
          <w:sz w:val="24"/>
          <w:szCs w:val="24"/>
        </w:rPr>
      </w:pPr>
      <w:r>
        <w:rPr>
          <w:rFonts w:ascii="仿宋" w:hAnsi="仿宋" w:eastAsia="仿宋"/>
          <w:sz w:val="24"/>
          <w:szCs w:val="24"/>
        </w:rPr>
        <w:t>1</w:t>
      </w:r>
      <w:r>
        <w:rPr>
          <w:rFonts w:ascii="Calibri" w:hAnsi="Calibri" w:eastAsia="仿宋" w:cs="Calibri"/>
          <w:sz w:val="24"/>
          <w:szCs w:val="24"/>
        </w:rPr>
        <w:t> </w:t>
      </w:r>
      <w:r>
        <w:rPr>
          <w:rFonts w:hint="eastAsia" w:ascii="Calibri" w:hAnsi="Calibri" w:eastAsia="仿宋" w:cs="Calibri"/>
          <w:sz w:val="24"/>
          <w:szCs w:val="24"/>
        </w:rPr>
        <w:t>.</w:t>
      </w:r>
      <w:r>
        <w:rPr>
          <w:rFonts w:ascii="仿宋" w:hAnsi="仿宋" w:eastAsia="仿宋"/>
          <w:sz w:val="24"/>
          <w:szCs w:val="24"/>
        </w:rPr>
        <w:t>严格遵守采购方制定的各项规章制度，按照采购方网络与信息安全管理规范，落实项目涉及服务器、业务系统的网络与信息安全保障措施，确保硬件设备与软件系统的安全运行。</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2</w:t>
      </w:r>
      <w:r>
        <w:rPr>
          <w:rFonts w:ascii="Calibri" w:hAnsi="Calibri" w:eastAsia="仿宋" w:cs="Calibri"/>
          <w:sz w:val="24"/>
          <w:szCs w:val="24"/>
        </w:rPr>
        <w:t> </w:t>
      </w:r>
      <w:r>
        <w:rPr>
          <w:rFonts w:hint="eastAsia" w:ascii="Calibri" w:hAnsi="Calibri" w:eastAsia="仿宋" w:cs="Calibri"/>
          <w:sz w:val="24"/>
          <w:szCs w:val="24"/>
        </w:rPr>
        <w:t>.</w:t>
      </w:r>
      <w:r>
        <w:rPr>
          <w:rFonts w:ascii="仿宋" w:hAnsi="仿宋" w:eastAsia="仿宋"/>
          <w:sz w:val="24"/>
          <w:szCs w:val="24"/>
        </w:rPr>
        <w:t>系统开发全流程需遵循保密性、完整性、可用性的网络安全核心原则，针对系统数据（含病案数据、指标数据等）制定明确的加密规范，覆盖数据传输、存储、使用等环节，保障信息安全。</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3</w:t>
      </w:r>
      <w:r>
        <w:rPr>
          <w:rFonts w:ascii="Calibri" w:hAnsi="Calibri" w:eastAsia="仿宋" w:cs="Calibri"/>
          <w:sz w:val="24"/>
          <w:szCs w:val="24"/>
        </w:rPr>
        <w:t> </w:t>
      </w:r>
      <w:r>
        <w:rPr>
          <w:rFonts w:hint="eastAsia" w:ascii="Calibri" w:hAnsi="Calibri" w:eastAsia="仿宋" w:cs="Calibri"/>
          <w:sz w:val="24"/>
          <w:szCs w:val="24"/>
        </w:rPr>
        <w:t>.</w:t>
      </w:r>
      <w:r>
        <w:rPr>
          <w:rFonts w:ascii="仿宋" w:hAnsi="仿宋" w:eastAsia="仿宋"/>
          <w:sz w:val="24"/>
          <w:szCs w:val="24"/>
        </w:rPr>
        <w:t>所提供系统需符合国家信息安全等级保护三级标准要求，积极配合采购方开展安全自查工作；服务期内若发现系统已知漏洞或安全隐患，需无条件及时完成漏洞修复与隐患整改，保障系统持续安全稳定运行。</w:t>
      </w:r>
      <w:r>
        <w:rPr>
          <w:rFonts w:ascii="Cambria Math" w:hAnsi="Cambria Math" w:eastAsia="仿宋" w:cs="Cambria Math"/>
          <w:sz w:val="24"/>
          <w:szCs w:val="24"/>
        </w:rPr>
        <w:t>​</w:t>
      </w:r>
      <w:r>
        <w:rPr>
          <w:rFonts w:ascii="仿宋" w:hAnsi="仿宋" w:eastAsia="仿宋"/>
          <w:sz w:val="24"/>
          <w:szCs w:val="24"/>
        </w:rPr>
        <w:br w:type="textWrapping"/>
      </w:r>
      <w:r>
        <w:rPr>
          <w:rFonts w:hint="eastAsia" w:ascii="仿宋" w:hAnsi="仿宋" w:eastAsia="仿宋"/>
          <w:b/>
          <w:bCs/>
          <w:sz w:val="24"/>
          <w:szCs w:val="24"/>
        </w:rPr>
        <w:t xml:space="preserve">  （二）</w:t>
      </w:r>
      <w:r>
        <w:rPr>
          <w:rFonts w:ascii="仿宋" w:hAnsi="仿宋" w:eastAsia="仿宋"/>
          <w:b/>
          <w:bCs/>
          <w:sz w:val="24"/>
          <w:szCs w:val="24"/>
        </w:rPr>
        <w:t>保密要求</w:t>
      </w:r>
      <w:r>
        <w:rPr>
          <w:rFonts w:ascii="Cambria Math" w:hAnsi="Cambria Math" w:eastAsia="仿宋" w:cs="Cambria Math"/>
          <w:b/>
          <w:bCs/>
          <w:sz w:val="24"/>
          <w:szCs w:val="24"/>
        </w:rPr>
        <w:t>​</w:t>
      </w:r>
      <w:r>
        <w:rPr>
          <w:rFonts w:ascii="仿宋" w:hAnsi="仿宋" w:eastAsia="仿宋"/>
          <w:b/>
          <w:bCs/>
          <w:sz w:val="24"/>
          <w:szCs w:val="24"/>
        </w:rPr>
        <w:br w:type="textWrapping"/>
      </w:r>
      <w:r>
        <w:rPr>
          <w:rFonts w:hint="eastAsia" w:ascii="仿宋" w:hAnsi="仿宋" w:eastAsia="仿宋"/>
          <w:sz w:val="24"/>
          <w:szCs w:val="24"/>
        </w:rPr>
        <w:t xml:space="preserve">   </w:t>
      </w:r>
      <w:r>
        <w:rPr>
          <w:rFonts w:ascii="仿宋" w:hAnsi="仿宋" w:eastAsia="仿宋"/>
          <w:sz w:val="24"/>
          <w:szCs w:val="24"/>
        </w:rPr>
        <w:t>需对本项目全部技术文件，及采购人提供的内部资料、技术文档与相关信息承担保密责任；严格履行与采购人签订的保密协议，未经采购人书面授权，不得以任何形式（含口头、书面、电子传输等）向第三方泄露本项目标书及项目相关全部内容。若因自身原因导致泄密，需依法承担相应法律责任与赔偿责任。</w:t>
      </w:r>
    </w:p>
    <w:p w14:paraId="7E06ED64">
      <w:pPr>
        <w:spacing w:line="360" w:lineRule="auto"/>
        <w:ind w:firstLine="241" w:firstLineChars="1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三</w:t>
      </w:r>
      <w:r>
        <w:rPr>
          <w:rFonts w:ascii="仿宋" w:hAnsi="仿宋" w:eastAsia="仿宋"/>
          <w:b/>
          <w:bCs/>
          <w:sz w:val="24"/>
          <w:szCs w:val="24"/>
        </w:rPr>
        <w:t>）网络安全自查</w:t>
      </w:r>
    </w:p>
    <w:p w14:paraId="6ACE00B3">
      <w:pPr>
        <w:spacing w:line="360" w:lineRule="auto"/>
        <w:ind w:firstLine="480" w:firstLineChars="200"/>
        <w:rPr>
          <w:rFonts w:hint="eastAsia" w:ascii="仿宋" w:hAnsi="仿宋" w:eastAsia="仿宋"/>
          <w:sz w:val="24"/>
          <w:szCs w:val="24"/>
        </w:rPr>
      </w:pPr>
      <w:r>
        <w:rPr>
          <w:rFonts w:ascii="仿宋" w:hAnsi="仿宋" w:eastAsia="仿宋"/>
          <w:sz w:val="24"/>
          <w:szCs w:val="24"/>
        </w:rPr>
        <w:t>服务期内，服务商需积极配合我院定期开展网络安全自查工作，自查内容至少包括系统日常运行情况、系统漏洞等，及时发现并处理安全隐患，保障医院信息系统的安全性。</w:t>
      </w:r>
    </w:p>
    <w:p w14:paraId="7BFDB81A">
      <w:pPr>
        <w:spacing w:line="360" w:lineRule="auto"/>
        <w:ind w:firstLine="241" w:firstLineChars="1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四</w:t>
      </w:r>
      <w:r>
        <w:rPr>
          <w:rFonts w:ascii="仿宋" w:hAnsi="仿宋" w:eastAsia="仿宋"/>
          <w:b/>
          <w:bCs/>
          <w:sz w:val="24"/>
          <w:szCs w:val="24"/>
        </w:rPr>
        <w:t>）安全审计配合</w:t>
      </w:r>
    </w:p>
    <w:p w14:paraId="4F8CBEFF">
      <w:pPr>
        <w:spacing w:line="360" w:lineRule="auto"/>
        <w:ind w:firstLine="480" w:firstLineChars="200"/>
        <w:rPr>
          <w:rFonts w:hint="eastAsia" w:ascii="仿宋" w:hAnsi="仿宋" w:eastAsia="仿宋"/>
          <w:sz w:val="24"/>
          <w:szCs w:val="24"/>
        </w:rPr>
      </w:pPr>
      <w:r>
        <w:rPr>
          <w:rFonts w:ascii="仿宋" w:hAnsi="仿宋" w:eastAsia="仿宋"/>
          <w:sz w:val="24"/>
          <w:szCs w:val="24"/>
        </w:rPr>
        <w:t>配合我院定期进行安全审计工作，审计内容至少涵盖系统账号、权限、操作行为和安全技术措施有效性等方面，确保系统运行符合安全规范，及时整改审计发现的问题。</w:t>
      </w:r>
    </w:p>
    <w:p w14:paraId="658818B9">
      <w:pPr>
        <w:spacing w:line="360" w:lineRule="auto"/>
        <w:ind w:firstLine="241" w:firstLineChars="100"/>
        <w:rPr>
          <w:rFonts w:hint="eastAsia" w:ascii="仿宋" w:hAnsi="仿宋" w:eastAsia="仿宋"/>
          <w:b/>
          <w:bCs/>
          <w:sz w:val="24"/>
          <w:szCs w:val="24"/>
        </w:rPr>
      </w:pPr>
      <w:r>
        <w:rPr>
          <w:rFonts w:ascii="仿宋" w:hAnsi="仿宋" w:eastAsia="仿宋"/>
          <w:b/>
          <w:bCs/>
          <w:sz w:val="24"/>
          <w:szCs w:val="24"/>
        </w:rPr>
        <w:t>（</w:t>
      </w:r>
      <w:r>
        <w:rPr>
          <w:rFonts w:hint="eastAsia" w:ascii="仿宋" w:hAnsi="仿宋" w:eastAsia="仿宋"/>
          <w:b/>
          <w:bCs/>
          <w:sz w:val="24"/>
          <w:szCs w:val="24"/>
        </w:rPr>
        <w:t>五</w:t>
      </w:r>
      <w:r>
        <w:rPr>
          <w:rFonts w:ascii="仿宋" w:hAnsi="仿宋" w:eastAsia="仿宋"/>
          <w:b/>
          <w:bCs/>
          <w:sz w:val="24"/>
          <w:szCs w:val="24"/>
        </w:rPr>
        <w:t>）数据资源共享</w:t>
      </w:r>
    </w:p>
    <w:p w14:paraId="3129541D">
      <w:pPr>
        <w:numPr>
          <w:ilvl w:val="0"/>
          <w:numId w:val="4"/>
        </w:numPr>
        <w:spacing w:line="360" w:lineRule="auto"/>
        <w:ind w:left="0" w:firstLine="480" w:firstLineChars="200"/>
        <w:rPr>
          <w:rFonts w:hint="eastAsia" w:ascii="仿宋" w:hAnsi="仿宋" w:eastAsia="仿宋"/>
          <w:sz w:val="24"/>
          <w:szCs w:val="24"/>
        </w:rPr>
      </w:pPr>
      <w:r>
        <w:rPr>
          <w:rFonts w:ascii="仿宋" w:hAnsi="仿宋" w:eastAsia="仿宋"/>
          <w:sz w:val="24"/>
          <w:szCs w:val="24"/>
        </w:rPr>
        <w:t>服务商须严格履行数据资源共享义务，</w:t>
      </w:r>
      <w:r>
        <w:rPr>
          <w:rFonts w:hint="eastAsia" w:ascii="仿宋" w:hAnsi="仿宋" w:eastAsia="仿宋"/>
          <w:sz w:val="24"/>
          <w:szCs w:val="24"/>
        </w:rPr>
        <w:t>积极</w:t>
      </w:r>
      <w:r>
        <w:rPr>
          <w:rFonts w:ascii="仿宋" w:hAnsi="仿宋" w:eastAsia="仿宋"/>
          <w:sz w:val="24"/>
          <w:szCs w:val="24"/>
        </w:rPr>
        <w:t>配合完成与上级主管部门指定系统平台的数据接口对接及系统平台互联互通工作，打破信息孤岛，实现数据共享共用，提升医疗信息化水平。</w:t>
      </w:r>
    </w:p>
    <w:p w14:paraId="198CAD63">
      <w:pPr>
        <w:numPr>
          <w:ilvl w:val="0"/>
          <w:numId w:val="4"/>
        </w:numPr>
        <w:spacing w:line="360" w:lineRule="auto"/>
        <w:ind w:left="0" w:firstLine="480" w:firstLineChars="200"/>
        <w:rPr>
          <w:rFonts w:hint="eastAsia" w:ascii="仿宋" w:hAnsi="仿宋" w:eastAsia="仿宋"/>
          <w:sz w:val="24"/>
          <w:szCs w:val="24"/>
        </w:rPr>
      </w:pPr>
      <w:r>
        <w:rPr>
          <w:rFonts w:ascii="仿宋" w:hAnsi="仿宋" w:eastAsia="仿宋"/>
          <w:sz w:val="24"/>
          <w:szCs w:val="24"/>
        </w:rPr>
        <w:t>在技术对接过程中，不得附加任何形式的接口调用费用条款，杜绝因接口对接费用等争议影响跨层级、跨部门政务数据资源共享与业务协同工作，保障数据共享工作的顺利推进。</w:t>
      </w:r>
    </w:p>
    <w:p w14:paraId="44E46211">
      <w:pPr>
        <w:spacing w:line="360" w:lineRule="auto"/>
        <w:ind w:firstLine="241" w:firstLineChars="100"/>
        <w:rPr>
          <w:rFonts w:hint="eastAsia" w:ascii="仿宋" w:hAnsi="仿宋" w:eastAsia="仿宋"/>
          <w:b/>
          <w:bCs/>
          <w:sz w:val="24"/>
          <w:szCs w:val="24"/>
        </w:rPr>
      </w:pPr>
      <w:r>
        <w:rPr>
          <w:rFonts w:hint="eastAsia" w:ascii="仿宋" w:hAnsi="仿宋" w:eastAsia="仿宋"/>
          <w:b/>
          <w:bCs/>
          <w:sz w:val="24"/>
          <w:szCs w:val="24"/>
        </w:rPr>
        <w:t>（六）知识产权合法</w:t>
      </w:r>
    </w:p>
    <w:p w14:paraId="0892FB5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服务商须确保所提供的系统、软件及技术未侵犯任何第三方知识产权。若所供系统涉及第三方软件使用，服务商应保证该软件为正版且具备合法授权。如因服务商过错致使医院在使用过程中面临第三方知识产权侵权指控，服务商将承担全部法律责任及经济赔偿，并需积极采取措施以消除负面影响，确保医院的正常运营与声誉不受损。</w:t>
      </w:r>
    </w:p>
    <w:bookmarkEnd w:id="7"/>
    <w:p w14:paraId="3F6F7440">
      <w:pPr>
        <w:rPr>
          <w:rFonts w:hint="eastAsia"/>
        </w:rPr>
      </w:pPr>
    </w:p>
    <w:p w14:paraId="6DFCAEF9">
      <w:pPr>
        <w:rPr>
          <w:rFonts w:hint="eastAsia"/>
        </w:rPr>
      </w:pPr>
      <w:r>
        <w:rPr>
          <w:rFonts w:ascii="黑体" w:hAnsi="黑体" w:eastAsia="黑体" w:cs="Times New Roman"/>
          <w:sz w:val="28"/>
          <w:szCs w:val="28"/>
        </w:rPr>
        <w:br w:type="textWrapp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356799"/>
      <w:docPartObj>
        <w:docPartGallery w:val="autotext"/>
      </w:docPartObj>
    </w:sdtPr>
    <w:sdtContent>
      <w:sdt>
        <w:sdtPr>
          <w:id w:val="1728636285"/>
          <w:docPartObj>
            <w:docPartGallery w:val="autotext"/>
          </w:docPartObj>
        </w:sdtPr>
        <w:sdtContent>
          <w:p w14:paraId="4AB0DCC5">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AA78477">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E564C">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7E59">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2801">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94A">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1046">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F0C92"/>
    <w:multiLevelType w:val="multilevel"/>
    <w:tmpl w:val="155F0C9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03F21E7"/>
    <w:multiLevelType w:val="multilevel"/>
    <w:tmpl w:val="303F21E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04E5E31"/>
    <w:multiLevelType w:val="multilevel"/>
    <w:tmpl w:val="304E5E31"/>
    <w:lvl w:ilvl="0" w:tentative="0">
      <w:start w:val="1"/>
      <w:numFmt w:val="decimal"/>
      <w:lvlText w:val="%1."/>
      <w:lvlJc w:val="left"/>
      <w:pPr>
        <w:ind w:left="811" w:hanging="360"/>
      </w:pPr>
      <w:rPr>
        <w:rFonts w:hint="default"/>
      </w:rPr>
    </w:lvl>
    <w:lvl w:ilvl="1" w:tentative="0">
      <w:start w:val="1"/>
      <w:numFmt w:val="lowerLetter"/>
      <w:lvlText w:val="%2)"/>
      <w:lvlJc w:val="left"/>
      <w:pPr>
        <w:ind w:left="1331" w:hanging="440"/>
      </w:pPr>
    </w:lvl>
    <w:lvl w:ilvl="2" w:tentative="0">
      <w:start w:val="1"/>
      <w:numFmt w:val="lowerRoman"/>
      <w:lvlText w:val="%3."/>
      <w:lvlJc w:val="right"/>
      <w:pPr>
        <w:ind w:left="1771" w:hanging="440"/>
      </w:pPr>
    </w:lvl>
    <w:lvl w:ilvl="3" w:tentative="0">
      <w:start w:val="1"/>
      <w:numFmt w:val="decimal"/>
      <w:lvlText w:val="%4."/>
      <w:lvlJc w:val="left"/>
      <w:pPr>
        <w:ind w:left="2211" w:hanging="440"/>
      </w:pPr>
    </w:lvl>
    <w:lvl w:ilvl="4" w:tentative="0">
      <w:start w:val="1"/>
      <w:numFmt w:val="lowerLetter"/>
      <w:lvlText w:val="%5)"/>
      <w:lvlJc w:val="left"/>
      <w:pPr>
        <w:ind w:left="2651" w:hanging="440"/>
      </w:pPr>
    </w:lvl>
    <w:lvl w:ilvl="5" w:tentative="0">
      <w:start w:val="1"/>
      <w:numFmt w:val="lowerRoman"/>
      <w:lvlText w:val="%6."/>
      <w:lvlJc w:val="right"/>
      <w:pPr>
        <w:ind w:left="3091" w:hanging="440"/>
      </w:pPr>
    </w:lvl>
    <w:lvl w:ilvl="6" w:tentative="0">
      <w:start w:val="1"/>
      <w:numFmt w:val="decimal"/>
      <w:lvlText w:val="%7."/>
      <w:lvlJc w:val="left"/>
      <w:pPr>
        <w:ind w:left="3531" w:hanging="440"/>
      </w:pPr>
    </w:lvl>
    <w:lvl w:ilvl="7" w:tentative="0">
      <w:start w:val="1"/>
      <w:numFmt w:val="lowerLetter"/>
      <w:lvlText w:val="%8)"/>
      <w:lvlJc w:val="left"/>
      <w:pPr>
        <w:ind w:left="3971" w:hanging="440"/>
      </w:pPr>
    </w:lvl>
    <w:lvl w:ilvl="8" w:tentative="0">
      <w:start w:val="1"/>
      <w:numFmt w:val="lowerRoman"/>
      <w:lvlText w:val="%9."/>
      <w:lvlJc w:val="right"/>
      <w:pPr>
        <w:ind w:left="4411" w:hanging="440"/>
      </w:pPr>
    </w:lvl>
  </w:abstractNum>
  <w:abstractNum w:abstractNumId="3">
    <w:nsid w:val="734902F3"/>
    <w:multiLevelType w:val="multilevel"/>
    <w:tmpl w:val="734902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84"/>
    <w:rsid w:val="000330EA"/>
    <w:rsid w:val="0006669C"/>
    <w:rsid w:val="000E6503"/>
    <w:rsid w:val="00341EE3"/>
    <w:rsid w:val="00517DD5"/>
    <w:rsid w:val="006F434C"/>
    <w:rsid w:val="00891198"/>
    <w:rsid w:val="008D7C2F"/>
    <w:rsid w:val="009952FE"/>
    <w:rsid w:val="00A120F2"/>
    <w:rsid w:val="00B01655"/>
    <w:rsid w:val="00BD5D4A"/>
    <w:rsid w:val="00D04E5A"/>
    <w:rsid w:val="00D64105"/>
    <w:rsid w:val="00E37F4F"/>
    <w:rsid w:val="00EF2784"/>
    <w:rsid w:val="00F922A5"/>
    <w:rsid w:val="219633D6"/>
    <w:rsid w:val="2C01620F"/>
    <w:rsid w:val="30D75EC7"/>
    <w:rsid w:val="3F594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iPriority w:val="0"/>
    <w:pPr>
      <w:spacing w:before="100" w:beforeAutospacing="1" w:after="100" w:afterAutospacing="1"/>
      <w:jc w:val="left"/>
    </w:pPr>
    <w:rPr>
      <w:rFonts w:ascii="Times New Roman" w:hAnsi="Times New Roman" w:eastAsia="仿宋" w:cs="Times New Roman"/>
      <w:kern w:val="0"/>
      <w:sz w:val="24"/>
      <w:szCs w:val="32"/>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正文－"/>
    <w:basedOn w:val="1"/>
    <w:qFormat/>
    <w:uiPriority w:val="0"/>
    <w:pPr>
      <w:snapToGrid w:val="0"/>
      <w:spacing w:line="360" w:lineRule="exact"/>
      <w:ind w:firstLine="200" w:firstLineChars="200"/>
    </w:pPr>
    <w:rPr>
      <w:rFonts w:ascii="仿宋_GB2312" w:hAnsi="宋体" w:eastAsia="仿宋_GB2312" w:cs="Times New Roman"/>
      <w:i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1247</Words>
  <Characters>1281</Characters>
  <Lines>168</Lines>
  <Paragraphs>81</Paragraphs>
  <TotalTime>368</TotalTime>
  <ScaleCrop>false</ScaleCrop>
  <LinksUpToDate>false</LinksUpToDate>
  <CharactersWithSpaces>1333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2025-09-12T01:05:00Z</dcterms:created>
  <dc:creator>苒岚 白</dc:creator>
  <cp:lastModifiedBy>微信用户</cp:lastModifiedBy>
  <dcterms:modified xsi:type="dcterms:W3CDTF">2025-10-30T08:47:01Z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eyJoZGlkIjoiMDY2ZTBhMzJmMzk0NGQyZmEwMjM2OTgzOTI0ZDUyMjgifQ==</vt:lpwstr>
  </property>
  <property fmtid="{D5CDD505-2E9C-101B-9397-08002B2CF9AE}" pid="3" name="KSOProductBuildVer">
    <vt:lpwstr>2052-12.1.0.23125</vt:lpwstr>
  </property>
  <property fmtid="{D5CDD505-2E9C-101B-9397-08002B2CF9AE}" pid="4" name="ICV">
    <vt:lpwstr>3E4F97B47CCC4C22B60C8C4FD86E72B7_13</vt:lpwstr>
  </property>
</Properties>
</file>